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bookmarkStart w:id="0" w:name="_GoBack"/>
      <w:bookmarkEnd w:id="0"/>
      <w:r>
        <w:rPr>
          <w:rFonts w:eastAsia="Times New Roman"/>
          <w:b/>
          <w:color w:val="000000"/>
          <w:sz w:val="24"/>
        </w:rPr>
        <w:t>Программа исследования</w:t>
      </w:r>
      <w:r>
        <w:rPr>
          <w:rStyle w:val="af6"/>
          <w:rFonts w:hint="eastAsia"/>
        </w:rPr>
        <w:footnoteReference w:id="1"/>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r>
        <w:rPr>
          <w:rFonts w:eastAsia="Times New Roman"/>
          <w:color w:val="000000"/>
          <w:sz w:val="24"/>
        </w:rPr>
        <w:t>Российская национальная библиотека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r>
        <w:rPr>
          <w:rFonts w:eastAsia="Times New Roman"/>
          <w:color w:val="000000"/>
          <w:sz w:val="24"/>
        </w:rPr>
        <w:t>Проектно-методический офис «Эффективное формирование фондов библиотек муниципальных образований и государственнх общедоступных библиотек субъектов Российской Федерации, кроме гг. Москвы и Санкт-Петербурга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r>
        <w:rPr>
          <w:rFonts w:eastAsia="Times New Roman"/>
          <w:color w:val="000000"/>
          <w:sz w:val="24"/>
        </w:rPr>
        <w:t>Научно-методический отдел</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r>
        <w:rPr>
          <w:rFonts w:eastAsia="Times New Roman"/>
          <w:color w:val="000000"/>
          <w:sz w:val="24"/>
        </w:rPr>
        <w:t>Сектор изучения библиотеч</w:t>
      </w:r>
      <w:r>
        <w:rPr>
          <w:rFonts w:eastAsia="Times New Roman"/>
          <w:color w:val="000000"/>
          <w:sz w:val="24"/>
        </w:rPr>
        <w:t xml:space="preserve">ных фондов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right"/>
        <w:rPr>
          <w:rFonts w:hint="default"/>
        </w:rPr>
      </w:pPr>
      <w:r>
        <w:rPr>
          <w:rFonts w:eastAsia="Times New Roman"/>
          <w:color w:val="000000"/>
          <w:sz w:val="24"/>
        </w:rPr>
        <w:t>ЕГИСУ НИОКТР. Рег. № 122050400120-5</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jc w:val="center"/>
        <w:rPr>
          <w:rFonts w:hint="default"/>
        </w:rPr>
      </w:pPr>
      <w:r>
        <w:rPr>
          <w:rFonts w:eastAsia="Times New Roman"/>
          <w:color w:val="000000"/>
          <w:sz w:val="24"/>
        </w:rPr>
        <w:t>Всероссийское прикладное научное исследование</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line="85" w:lineRule="atLeast"/>
        <w:ind w:firstLine="709"/>
        <w:jc w:val="center"/>
        <w:rPr>
          <w:rFonts w:hint="default"/>
        </w:rPr>
      </w:pPr>
      <w:r>
        <w:rPr>
          <w:rFonts w:eastAsia="Times New Roman"/>
          <w:b/>
          <w:color w:val="000000"/>
          <w:sz w:val="24"/>
        </w:rPr>
        <w:t>Мониторинг фондов модельных муниципальных библиотек нового поколения</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000000"/>
          <w:sz w:val="24"/>
        </w:rPr>
        <w:t>Программа и методика исследования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Развитие библиотек стало одним из приоритетных направлений государственной культурной политики. В 2019 г. в России </w:t>
      </w:r>
      <w:hyperlink r:id="rId8" w:tooltip="https://daily.afisha.ru/out/?url=aHR0cHM6Ly93d3cubWtyZi5ydS9hYm91dC9uYXRpb25hbC1wcm9qZWN0Lw%3D%3D&amp;h=c4e024e63b1963c1042b274d805096e2" w:history="1">
        <w:r>
          <w:rPr>
            <w:rStyle w:val="af0"/>
            <w:rFonts w:eastAsia="Times New Roman"/>
            <w:color w:val="111111"/>
            <w:sz w:val="24"/>
            <w:highlight w:val="white"/>
          </w:rPr>
          <w:t>в рамках национального проекта «Культура»</w:t>
        </w:r>
      </w:hyperlink>
      <w:r>
        <w:rPr>
          <w:rFonts w:eastAsia="Times New Roman"/>
          <w:color w:val="111111"/>
          <w:sz w:val="24"/>
          <w:highlight w:val="white"/>
        </w:rPr>
        <w:t> (далее — Проект) началась модернизация библиотек, рассчитанная на ше</w:t>
      </w:r>
      <w:r>
        <w:rPr>
          <w:rFonts w:eastAsia="Times New Roman"/>
          <w:color w:val="111111"/>
          <w:sz w:val="24"/>
          <w:highlight w:val="white"/>
        </w:rPr>
        <w:t>сть лет. Планируется, что к 2025 г. по всей стране будет создано более 1000 оснащённых модельных библиотек (при плане 660) с ежегодно обновляемыми на 5–10 % фондами. В 2019 г. было модернизировано 134 библиотеки в 44 российских регионах; на это выделено 1,</w:t>
      </w:r>
      <w:r>
        <w:rPr>
          <w:rFonts w:eastAsia="Times New Roman"/>
          <w:color w:val="111111"/>
          <w:sz w:val="24"/>
          <w:highlight w:val="white"/>
        </w:rPr>
        <w:t>1 млрд руб., большая часть из которых (860 млн руб.) — средства федерального бюджета. На комплектование было направлено 16 % этих средств (более 135 млн руб.). В 2020 г. проведена модернизация ещё 172 муниципальных библиотек из 66 регионов, в 2021 г. — 305</w:t>
      </w:r>
      <w:r>
        <w:rPr>
          <w:rFonts w:eastAsia="Times New Roman"/>
          <w:color w:val="111111"/>
          <w:sz w:val="24"/>
          <w:highlight w:val="white"/>
        </w:rPr>
        <w:t xml:space="preserve"> из 67 регионов, в 2022 г. — ещё 239 модельных библиотек. Таким образом, в рамках национального проекта «Культура» создано 850 модельных библиотек нового поколения, в том числе 353 детских.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Необходимо кардинально обновить систему управления библиотечными ф</w:t>
      </w:r>
      <w:r>
        <w:rPr>
          <w:rFonts w:eastAsia="Times New Roman"/>
          <w:color w:val="111111"/>
          <w:sz w:val="24"/>
          <w:highlight w:val="white"/>
        </w:rPr>
        <w:t xml:space="preserve">ондами муниципальных библиотек страны, повысить эффективность их использования в интересах населения. Этого можно добиться с помощью ежегодного мониторинга работы модельных библиотек с фондами, в сотрудничестве с федеральными и региональными библиотеками, </w:t>
      </w:r>
      <w:r>
        <w:rPr>
          <w:rFonts w:eastAsia="Times New Roman"/>
          <w:color w:val="111111"/>
          <w:sz w:val="24"/>
          <w:highlight w:val="white"/>
        </w:rPr>
        <w:t xml:space="preserve">проектными офисами по созданию модельных библиотек.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highlight w:val="white"/>
        </w:rPr>
        <w:t>Мониторинг является одним из методов проектного управления и заключается</w:t>
      </w:r>
      <w:r>
        <w:rPr>
          <w:rFonts w:eastAsia="Times New Roman"/>
          <w:color w:val="111111"/>
          <w:sz w:val="24"/>
          <w:highlight w:val="white"/>
        </w:rPr>
        <w:t xml:space="preserve"> в непрерывном наблюдении за фондами модельных библиотек по ключевым параметрам. Осуществляется по решению Совета сотрудничества на</w:t>
      </w:r>
      <w:r>
        <w:rPr>
          <w:rFonts w:eastAsia="Times New Roman"/>
          <w:color w:val="111111"/>
          <w:sz w:val="24"/>
          <w:highlight w:val="white"/>
        </w:rPr>
        <w:t>циональных библиотек (XXIV заседание, СПб., 21 декабря 2020 г.).</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111111"/>
          <w:sz w:val="24"/>
          <w:highlight w:val="white"/>
        </w:rPr>
        <w:t>Объект мониторинга</w:t>
      </w:r>
      <w:r>
        <w:rPr>
          <w:rFonts w:eastAsia="Times New Roman"/>
          <w:color w:val="111111"/>
          <w:sz w:val="24"/>
          <w:highlight w:val="white"/>
        </w:rPr>
        <w:t xml:space="preserve"> — муниципальные библиотеки — победители конкурсов по созданию модельных библиотек </w:t>
      </w:r>
      <w:r>
        <w:rPr>
          <w:rFonts w:eastAsia="Times New Roman"/>
          <w:color w:val="000000"/>
          <w:sz w:val="24"/>
          <w:highlight w:val="white"/>
        </w:rPr>
        <w:t>нового поколения</w:t>
      </w:r>
      <w:r>
        <w:rPr>
          <w:rFonts w:eastAsia="Times New Roman"/>
          <w:color w:val="111111"/>
          <w:sz w:val="24"/>
          <w:highlight w:val="white"/>
        </w:rPr>
        <w:t xml:space="preserve"> в рамках национального проекта «Культура» в 2019–2024 гг.</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111111"/>
          <w:sz w:val="24"/>
          <w:highlight w:val="white"/>
        </w:rPr>
        <w:t>Предмет</w:t>
      </w:r>
      <w:r>
        <w:rPr>
          <w:rFonts w:eastAsia="Times New Roman"/>
          <w:color w:val="111111"/>
          <w:sz w:val="24"/>
          <w:highlight w:val="white"/>
        </w:rPr>
        <w:t> — фонды</w:t>
      </w:r>
      <w:r>
        <w:rPr>
          <w:rFonts w:eastAsia="Times New Roman"/>
          <w:color w:val="111111"/>
          <w:sz w:val="24"/>
          <w:highlight w:val="white"/>
        </w:rPr>
        <w:t xml:space="preserve"> модельных муниципальных библиотек </w:t>
      </w:r>
      <w:r>
        <w:rPr>
          <w:rFonts w:eastAsia="Times New Roman"/>
          <w:color w:val="000000"/>
          <w:sz w:val="24"/>
          <w:highlight w:val="white"/>
        </w:rPr>
        <w:t>нового поколения.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111111"/>
          <w:sz w:val="24"/>
          <w:highlight w:val="white"/>
        </w:rPr>
        <w:t>Цель мониторинга</w:t>
      </w:r>
      <w:r>
        <w:rPr>
          <w:rFonts w:eastAsia="Times New Roman"/>
          <w:color w:val="111111"/>
          <w:sz w:val="24"/>
          <w:highlight w:val="white"/>
        </w:rPr>
        <w:t> — анализ состава и использования фондов модельных библиотек по ключевым параметрам, внедрение современных технологий комплектования в условиях цифровизации, выявление проблем, оказание м</w:t>
      </w:r>
      <w:r>
        <w:rPr>
          <w:rFonts w:eastAsia="Times New Roman"/>
          <w:color w:val="111111"/>
          <w:sz w:val="24"/>
          <w:highlight w:val="white"/>
        </w:rPr>
        <w:t>етодической, образовательной и других видов поддержки специалистов, работающих с фондами, разработка рекомендаций, предложений для библиотек и органов публичной власти всех уровней.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111111"/>
          <w:sz w:val="24"/>
          <w:highlight w:val="white"/>
        </w:rPr>
        <w:t>Сроки мониторинга</w:t>
      </w:r>
      <w:r>
        <w:rPr>
          <w:rFonts w:eastAsia="Times New Roman"/>
          <w:color w:val="111111"/>
          <w:sz w:val="24"/>
          <w:highlight w:val="white"/>
        </w:rPr>
        <w:t> — с 2021 по 2030 г.</w:t>
      </w:r>
      <w:r>
        <w:rPr>
          <w:rFonts w:eastAsia="Times New Roman"/>
          <w:color w:val="111111"/>
          <w:sz w:val="24"/>
          <w:highlight w:val="white"/>
          <w:u w:val="single"/>
          <w:vertAlign w:val="superscript"/>
        </w:rPr>
        <w:footnoteReference w:id="2"/>
      </w:r>
      <w:r>
        <w:rPr>
          <w:rFonts w:eastAsia="Times New Roman"/>
          <w:color w:val="111111"/>
          <w:sz w:val="20"/>
          <w:highlight w:val="white"/>
          <w:vertAlign w:val="superscript"/>
        </w:rPr>
        <w:t xml:space="preserve">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000000"/>
          <w:sz w:val="24"/>
        </w:rPr>
        <w:lastRenderedPageBreak/>
        <w:t>Исполнители и их функции</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i/>
          <w:color w:val="111111"/>
          <w:sz w:val="24"/>
          <w:highlight w:val="white"/>
        </w:rPr>
        <w:t>Основной исполнитель</w:t>
      </w:r>
      <w:r>
        <w:rPr>
          <w:rFonts w:eastAsia="Times New Roman"/>
          <w:color w:val="111111"/>
          <w:sz w:val="24"/>
          <w:highlight w:val="white"/>
        </w:rPr>
        <w:t> — сектор изучения библиотечных фондов НМО РНБ.</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i/>
          <w:color w:val="111111"/>
          <w:sz w:val="24"/>
          <w:highlight w:val="white"/>
        </w:rPr>
        <w:t>К исследованию привлекаются</w:t>
      </w:r>
      <w:r>
        <w:rPr>
          <w:rFonts w:eastAsia="Times New Roman"/>
          <w:color w:val="111111"/>
          <w:sz w:val="24"/>
          <w:highlight w:val="white"/>
        </w:rPr>
        <w:t> — Российская государственная детская библиотека. Региональные проектные офисы по созданию модельных библиотек; Главный информационно-вычислительный центр Минист</w:t>
      </w:r>
      <w:r>
        <w:rPr>
          <w:rFonts w:eastAsia="Times New Roman"/>
          <w:color w:val="111111"/>
          <w:sz w:val="24"/>
          <w:highlight w:val="white"/>
        </w:rPr>
        <w:t>ерства культуры Российской Федерации (ГИВЦ).</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i/>
          <w:color w:val="111111"/>
          <w:sz w:val="24"/>
          <w:highlight w:val="white"/>
        </w:rPr>
        <w:t xml:space="preserve">Руководитель исследования — </w:t>
      </w:r>
      <w:r>
        <w:rPr>
          <w:rFonts w:eastAsia="Times New Roman"/>
          <w:color w:val="111111"/>
          <w:sz w:val="24"/>
          <w:highlight w:val="white"/>
        </w:rPr>
        <w:t>И.В. Эйдемиллер, заведующая Сектором изучения библиотечных фондов НМО РНБ.</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highlight w:val="white"/>
        </w:rPr>
        <w:t xml:space="preserve">Основным инструментом сбора и обработки данных выступает БД «Формирование фондов модельных библиотек нового </w:t>
      </w:r>
      <w:r>
        <w:rPr>
          <w:rFonts w:eastAsia="Times New Roman"/>
          <w:color w:val="000000"/>
          <w:sz w:val="24"/>
          <w:highlight w:val="white"/>
        </w:rPr>
        <w:t xml:space="preserve">поколения». Она создаётся в РНБ с использованием дистанционных технологий. Доступ к ней предоставляется сотрудникам модельных библиотек нового поколения и региональным проектным офисам. Администратором выступает Сектор изучения библиотечных фондов НМО.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Ос</w:t>
      </w:r>
      <w:r>
        <w:rPr>
          <w:rFonts w:eastAsia="Times New Roman"/>
          <w:color w:val="111111"/>
          <w:sz w:val="24"/>
          <w:highlight w:val="white"/>
        </w:rPr>
        <w:t>новной свод статистических данных по модельным библиотекам предоставляется ГИВЦ. Дополнительный сбор сведений необходимых для проведения мониторинга осуществляет Сектор изучения фондов НМО РНБ. На первом и втором этапе мониторинга, охватывающем модельные б</w:t>
      </w:r>
      <w:r>
        <w:rPr>
          <w:rFonts w:eastAsia="Times New Roman"/>
          <w:color w:val="111111"/>
          <w:sz w:val="24"/>
          <w:highlight w:val="white"/>
        </w:rPr>
        <w:t>иблиотеки, модернизированные в 2019–2020 гг., ввод данных осуществляется через таблицы на Яндекс-диске.  Региональные проектные офисы контролируют сроки и качество загрузки данных. Обработка данных и таблиц, анализ результатов и подготовка рекомендаций осу</w:t>
      </w:r>
      <w:r>
        <w:rPr>
          <w:rFonts w:eastAsia="Times New Roman"/>
          <w:color w:val="111111"/>
          <w:sz w:val="24"/>
          <w:highlight w:val="white"/>
        </w:rPr>
        <w:t>ществляется Сектором изучения фондов НМО РНБ.</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Будут решаться следующие задачи:</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анализ динамики основных (объём фонда, книговыдачи, количества читателей) и относительных показателей (обращаемость, читаемость, книгообеспеченность) библиотечного фонда для в</w:t>
      </w:r>
      <w:r>
        <w:rPr>
          <w:rFonts w:eastAsia="Times New Roman"/>
          <w:color w:val="111111"/>
          <w:sz w:val="24"/>
          <w:highlight w:val="white"/>
        </w:rPr>
        <w:t>ыявления устойчивых тенденций;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анализ эффективности освоения средств на комплектование и оптимального способа закупки; сопоставление обновляемости библиотечных фондов с рекомендуемыми нормативами, структуры и качества новых поступлений;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анализ видового</w:t>
      </w:r>
      <w:r>
        <w:rPr>
          <w:rFonts w:eastAsia="Times New Roman"/>
          <w:color w:val="111111"/>
          <w:sz w:val="24"/>
          <w:highlight w:val="white"/>
        </w:rPr>
        <w:t xml:space="preserve"> и отраслевого состава документного фонда, оценка эффективности использования отраслевого фонда;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оценка уровня владения современными технологиями комплектования;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оценка уровня использования пользователями цифровых ресурсов;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оценка удовлетворённости пользователей качеством фондов.</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111111"/>
          <w:sz w:val="24"/>
          <w:highlight w:val="white"/>
        </w:rPr>
        <w:t>Инструментарий мониторинга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Сбор статистических данных;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Анкетирование.</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000000"/>
          <w:sz w:val="24"/>
        </w:rPr>
        <w:t>Ожидаемые результаты</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1. Создание электронной базы данных «Формирование фондов муниципальных модельных библиотек нового поко</w:t>
      </w:r>
      <w:r>
        <w:rPr>
          <w:rFonts w:eastAsia="Times New Roman"/>
          <w:color w:val="000000"/>
          <w:sz w:val="24"/>
        </w:rPr>
        <w:t>ления» в качестве основного инструмента сбора и обработки данных.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2. Подготовка и издание Ежегодного аналитического отчёта «Мониторинг</w:t>
      </w:r>
      <w:r>
        <w:rPr>
          <w:rFonts w:ascii="Calibri" w:eastAsia="Calibri" w:hAnsi="Calibri" w:cs="Calibri"/>
          <w:color w:val="000000"/>
          <w:sz w:val="24"/>
        </w:rPr>
        <w:t xml:space="preserve"> </w:t>
      </w:r>
      <w:r>
        <w:rPr>
          <w:rFonts w:eastAsia="Times New Roman"/>
          <w:color w:val="000000"/>
          <w:sz w:val="24"/>
        </w:rPr>
        <w:t>фондов</w:t>
      </w:r>
      <w:r>
        <w:rPr>
          <w:rFonts w:ascii="Calibri" w:eastAsia="Calibri" w:hAnsi="Calibri" w:cs="Calibri"/>
          <w:color w:val="000000"/>
          <w:sz w:val="24"/>
        </w:rPr>
        <w:t xml:space="preserve"> </w:t>
      </w:r>
      <w:r>
        <w:rPr>
          <w:rFonts w:eastAsia="Times New Roman"/>
          <w:color w:val="000000"/>
          <w:sz w:val="24"/>
        </w:rPr>
        <w:t>муниципальных</w:t>
      </w:r>
      <w:r>
        <w:rPr>
          <w:rFonts w:ascii="Calibri" w:eastAsia="Calibri" w:hAnsi="Calibri" w:cs="Calibri"/>
          <w:color w:val="000000"/>
          <w:sz w:val="24"/>
        </w:rPr>
        <w:t xml:space="preserve"> </w:t>
      </w:r>
      <w:r>
        <w:rPr>
          <w:rFonts w:eastAsia="Times New Roman"/>
          <w:color w:val="000000"/>
          <w:sz w:val="24"/>
        </w:rPr>
        <w:t>модельных</w:t>
      </w:r>
      <w:r>
        <w:rPr>
          <w:rFonts w:ascii="Calibri" w:eastAsia="Calibri" w:hAnsi="Calibri" w:cs="Calibri"/>
          <w:color w:val="000000"/>
          <w:sz w:val="24"/>
        </w:rPr>
        <w:t xml:space="preserve"> </w:t>
      </w:r>
      <w:r>
        <w:rPr>
          <w:rFonts w:eastAsia="Times New Roman"/>
          <w:color w:val="000000"/>
          <w:sz w:val="24"/>
        </w:rPr>
        <w:t>библиотек</w:t>
      </w:r>
      <w:r>
        <w:rPr>
          <w:rFonts w:ascii="Calibri" w:eastAsia="Calibri" w:hAnsi="Calibri" w:cs="Calibri"/>
          <w:color w:val="000000"/>
          <w:sz w:val="24"/>
        </w:rPr>
        <w:t xml:space="preserve"> </w:t>
      </w:r>
      <w:r>
        <w:rPr>
          <w:rFonts w:eastAsia="Times New Roman"/>
          <w:color w:val="000000"/>
          <w:sz w:val="24"/>
        </w:rPr>
        <w:t>нового</w:t>
      </w:r>
      <w:r>
        <w:rPr>
          <w:rFonts w:ascii="Calibri" w:eastAsia="Calibri" w:hAnsi="Calibri" w:cs="Calibri"/>
          <w:color w:val="000000"/>
          <w:sz w:val="24"/>
        </w:rPr>
        <w:t xml:space="preserve"> </w:t>
      </w:r>
      <w:r>
        <w:rPr>
          <w:rFonts w:eastAsia="Times New Roman"/>
          <w:color w:val="000000"/>
          <w:sz w:val="24"/>
        </w:rPr>
        <w:t>поколения</w:t>
      </w:r>
      <w:r>
        <w:rPr>
          <w:rFonts w:ascii="Calibri" w:eastAsia="Calibri" w:hAnsi="Calibri" w:cs="Calibri"/>
          <w:color w:val="000000"/>
          <w:sz w:val="24"/>
        </w:rPr>
        <w:t xml:space="preserve">. </w:t>
      </w:r>
      <w:r>
        <w:rPr>
          <w:rFonts w:eastAsia="Times New Roman"/>
          <w:color w:val="000000"/>
          <w:sz w:val="24"/>
        </w:rPr>
        <w:t>Этап</w:t>
      </w:r>
      <w:r>
        <w:rPr>
          <w:rFonts w:ascii="Calibri" w:eastAsia="Calibri" w:hAnsi="Calibri" w:cs="Calibri"/>
          <w:color w:val="000000"/>
          <w:sz w:val="24"/>
        </w:rPr>
        <w:t xml:space="preserve"> </w:t>
      </w:r>
      <w:r>
        <w:rPr>
          <w:rFonts w:eastAsia="Times New Roman"/>
          <w:color w:val="000000"/>
          <w:sz w:val="24"/>
        </w:rPr>
        <w:t xml:space="preserve">…», в котором: раскрываются основные тенденции, актуальные вопросы и проблемы формирования и использование фондов; выявляются лучшие практики работы библиотек с фондами; формулируются предложения (рекомендации) органам власти и специалистам библиотек.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lastRenderedPageBreak/>
        <w:t xml:space="preserve">3. </w:t>
      </w:r>
      <w:r>
        <w:rPr>
          <w:rFonts w:eastAsia="Times New Roman"/>
          <w:color w:val="000000"/>
          <w:sz w:val="24"/>
        </w:rPr>
        <w:t xml:space="preserve">Проведение тематических круглых столов в рамках всероссийских и региональных НПК «Фонды библиотек в цифровую эпоху: традиционные и электронные ресурсы, комплектование, использование», «Библиотечные фонды: проблемы и решения».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4. Ежегодное проведение конку</w:t>
      </w:r>
      <w:r>
        <w:rPr>
          <w:rFonts w:eastAsia="Times New Roman"/>
          <w:color w:val="000000"/>
          <w:sz w:val="24"/>
        </w:rPr>
        <w:t>рса «Золотая полка» на лучший фонд модельной библиотеки нового поколения (совместно с РГБ, РГДБ).</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5. Актуализация системы повышения квалификации «Школа комплектатора: формирование фондов модельных библиотек» с занятиями на базе Института дополнительного об</w:t>
      </w:r>
      <w:r>
        <w:rPr>
          <w:rFonts w:eastAsia="Times New Roman"/>
          <w:color w:val="000000"/>
          <w:sz w:val="24"/>
        </w:rPr>
        <w:t>разования РНБ, а также в центральных библиотеках субъектов РФ</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6. Профильная методическая поддержка на основе взаимодействия с региональными проектными офисами.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7. Публикация статей в рецензируемых научных изданиях.</w:t>
      </w:r>
    </w:p>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br w:type="page" w:clear="all"/>
      </w:r>
    </w:p>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lastRenderedPageBreak/>
        <w:t xml:space="preserve">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111111"/>
          <w:sz w:val="24"/>
          <w:highlight w:val="white"/>
        </w:rPr>
        <w:t>Сбор статистических данных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color w:val="111111"/>
          <w:sz w:val="24"/>
          <w:highlight w:val="white"/>
        </w:rPr>
        <w:t>Используется следующая классификация модельных библиотек:</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центральная городская библиотека;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центральная районная / межпоселенческая библиотека;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городская библиотека;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сельская библиотека.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От статуса библиотеки зависит сумма иных межбюджетных трансфе</w:t>
      </w:r>
      <w:r>
        <w:rPr>
          <w:rFonts w:eastAsia="Times New Roman"/>
          <w:color w:val="111111"/>
          <w:sz w:val="24"/>
          <w:highlight w:val="white"/>
        </w:rPr>
        <w:t>ртов (далее — ИМТ) на её модернизацию.</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Для анализа данных имеет значение тип населённого пункта: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малый город — до 50 тыс.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средний город — до 100 тыс.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большой город — более 100 тыс.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крупный город — более 250 тыс.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крупнейший город — от 500 тыс. до 1 млн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город-миллионер — более 1 000 000 жителей;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посёлок городского типа;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село, деревня, аул, станица, посёлок.</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Вид муниципального образования: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м</w:t>
      </w:r>
      <w:r>
        <w:rPr>
          <w:rFonts w:eastAsia="Times New Roman"/>
          <w:color w:val="000000"/>
          <w:sz w:val="24"/>
        </w:rPr>
        <w:t>униципальный район;</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w:t>
      </w:r>
      <w:r>
        <w:rPr>
          <w:rFonts w:eastAsia="Times New Roman"/>
          <w:color w:val="000000"/>
          <w:sz w:val="24"/>
        </w:rPr>
        <w:t>муниципальный округ;</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w:t>
      </w:r>
      <w:r>
        <w:rPr>
          <w:rFonts w:eastAsia="Times New Roman"/>
          <w:color w:val="000000"/>
          <w:sz w:val="24"/>
        </w:rPr>
        <w:t>городской округ с внутригородским делением;</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w:t>
      </w:r>
      <w:r>
        <w:rPr>
          <w:rFonts w:eastAsia="Times New Roman"/>
          <w:color w:val="000000"/>
          <w:sz w:val="24"/>
        </w:rPr>
        <w:t>внутригородское муниципальное образование;</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w:t>
      </w:r>
      <w:r>
        <w:rPr>
          <w:rFonts w:eastAsia="Times New Roman"/>
          <w:color w:val="000000"/>
          <w:sz w:val="24"/>
        </w:rPr>
        <w:t>городское поселение;</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w:t>
      </w:r>
      <w:r>
        <w:rPr>
          <w:rFonts w:eastAsia="Times New Roman"/>
          <w:color w:val="000000"/>
          <w:sz w:val="24"/>
        </w:rPr>
        <w:t>. сельское поселение.</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Этапы мониторинга по хронологическому охвату</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1-й этап (2022)</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b/>
          <w:color w:val="111111"/>
          <w:sz w:val="24"/>
          <w:highlight w:val="white"/>
        </w:rPr>
        <w:t xml:space="preserve"> — </w:t>
      </w:r>
      <w:r>
        <w:rPr>
          <w:rFonts w:eastAsia="Times New Roman"/>
          <w:color w:val="111111"/>
          <w:sz w:val="24"/>
          <w:highlight w:val="white"/>
        </w:rPr>
        <w:t>модельные библиотеки, модернизированные в 2019 г. (данные за 4 года: 2018 — предпроектный, год модернизации, два последующих).</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b/>
          <w:color w:val="111111"/>
          <w:sz w:val="24"/>
          <w:highlight w:val="white"/>
        </w:rPr>
        <w:t>2-й этап (2023)</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b/>
          <w:color w:val="111111"/>
          <w:sz w:val="24"/>
          <w:highlight w:val="white"/>
        </w:rPr>
        <w:t xml:space="preserve"> — </w:t>
      </w:r>
      <w:r>
        <w:rPr>
          <w:rFonts w:eastAsia="Times New Roman"/>
          <w:color w:val="111111"/>
          <w:sz w:val="24"/>
          <w:highlight w:val="white"/>
        </w:rPr>
        <w:t>модельные библиотеки, модернизированные в 2020 г. (данные за 4 года: 2019 — предпроектный, год модернизации, д</w:t>
      </w:r>
      <w:r>
        <w:rPr>
          <w:rFonts w:eastAsia="Times New Roman"/>
          <w:color w:val="111111"/>
          <w:sz w:val="24"/>
          <w:highlight w:val="white"/>
        </w:rPr>
        <w:t>ва последующих);</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color w:val="111111"/>
          <w:sz w:val="24"/>
          <w:highlight w:val="white"/>
        </w:rPr>
        <w:t>— модельные библиотеки, модернизированные в 2019 г. (2022 — 1-й постпроектный год).</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b/>
          <w:color w:val="111111"/>
          <w:sz w:val="24"/>
          <w:highlight w:val="white"/>
        </w:rPr>
        <w:t>3-й этап (2024)</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line="85" w:lineRule="atLeast"/>
        <w:ind w:firstLine="709"/>
        <w:rPr>
          <w:rFonts w:hint="default"/>
        </w:rPr>
      </w:pPr>
      <w:r>
        <w:rPr>
          <w:rFonts w:eastAsia="Times New Roman"/>
          <w:b/>
          <w:color w:val="111111"/>
          <w:sz w:val="24"/>
          <w:highlight w:val="white"/>
        </w:rPr>
        <w:t xml:space="preserve"> — </w:t>
      </w:r>
      <w:r>
        <w:rPr>
          <w:rFonts w:eastAsia="Times New Roman"/>
          <w:color w:val="111111"/>
          <w:sz w:val="24"/>
          <w:highlight w:val="white"/>
        </w:rPr>
        <w:t>модельные библиотеки, модернизированные в 2021 г. (данные за 4 года: 2020 —предпроектный, год модернизации, два последующих);</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line="85" w:lineRule="atLeast"/>
        <w:ind w:firstLine="709"/>
        <w:rPr>
          <w:rFonts w:hint="default"/>
        </w:rPr>
      </w:pPr>
      <w:r>
        <w:rPr>
          <w:rFonts w:eastAsia="Times New Roman"/>
          <w:color w:val="111111"/>
          <w:sz w:val="24"/>
          <w:highlight w:val="white"/>
        </w:rPr>
        <w:t>— модельны</w:t>
      </w:r>
      <w:r>
        <w:rPr>
          <w:rFonts w:eastAsia="Times New Roman"/>
          <w:color w:val="111111"/>
          <w:sz w:val="24"/>
          <w:highlight w:val="white"/>
        </w:rPr>
        <w:t xml:space="preserve">е библиотеки, модернизированные в 2019 г.  (2023 — 2-й постпроектный год); </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line="85" w:lineRule="atLeast"/>
        <w:ind w:firstLine="709"/>
        <w:rPr>
          <w:rFonts w:hint="default"/>
        </w:rPr>
      </w:pPr>
      <w:r>
        <w:rPr>
          <w:rFonts w:eastAsia="Times New Roman"/>
          <w:color w:val="111111"/>
          <w:sz w:val="24"/>
          <w:highlight w:val="white"/>
        </w:rPr>
        <w:t>— модельные библиотеки, модернизированные в 2020 г. (2023 — 1-й постпроектный год).</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4-й этап (2025)</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w:t>
      </w:r>
      <w:r>
        <w:rPr>
          <w:rFonts w:eastAsia="Times New Roman"/>
          <w:color w:val="111111"/>
          <w:sz w:val="24"/>
          <w:highlight w:val="white"/>
        </w:rPr>
        <w:t>модельные библиотеки, модернизированные в 2022 г. (данные за 4 года: 2021 —пред</w:t>
      </w:r>
      <w:r>
        <w:rPr>
          <w:rFonts w:eastAsia="Times New Roman"/>
          <w:color w:val="111111"/>
          <w:sz w:val="24"/>
          <w:highlight w:val="white"/>
        </w:rPr>
        <w:t>проектный, год модернизации, два последующих);</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color w:val="111111"/>
          <w:sz w:val="24"/>
          <w:highlight w:val="white"/>
        </w:rPr>
        <w:t xml:space="preserve">— модельные библиотеки, модернизированные в 2019 г. (2024 — 3-й постпроектный год); </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color w:val="111111"/>
          <w:sz w:val="24"/>
          <w:highlight w:val="white"/>
        </w:rPr>
        <w:t>— модельные библиотеки, модернизированные в 2020 г. (2024 — 2-й постпроектный год);</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w:t>
      </w:r>
      <w:r>
        <w:rPr>
          <w:rFonts w:eastAsia="Times New Roman"/>
          <w:color w:val="111111"/>
          <w:sz w:val="24"/>
          <w:highlight w:val="white"/>
        </w:rPr>
        <w:t>модельные библиотеки, модернизированные в 2021 г. (2024 — 1-й постпроектный год).</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ind w:firstLine="709"/>
        <w:rPr>
          <w:rFonts w:hint="default"/>
        </w:rPr>
      </w:pPr>
      <w:r>
        <w:rPr>
          <w:rFonts w:eastAsia="Times New Roman"/>
          <w:b/>
          <w:color w:val="111111"/>
          <w:sz w:val="24"/>
          <w:highlight w:val="white"/>
        </w:rPr>
        <w:t>5-й этап (2026) и последующие этапы по той же схеме.</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line="85" w:lineRule="atLeast"/>
        <w:ind w:firstLine="709"/>
        <w:rPr>
          <w:rFonts w:hint="default"/>
        </w:rPr>
      </w:pPr>
      <w:r>
        <w:rPr>
          <w:rFonts w:eastAsia="Times New Roman"/>
          <w:b/>
          <w:color w:val="111111"/>
          <w:sz w:val="24"/>
          <w:highlight w:val="white"/>
        </w:rPr>
        <w:t xml:space="preserve">Таблица 1. </w:t>
      </w:r>
      <w:r>
        <w:rPr>
          <w:rFonts w:eastAsia="Times New Roman"/>
          <w:color w:val="111111"/>
          <w:sz w:val="24"/>
          <w:highlight w:val="white"/>
        </w:rPr>
        <w:t>Ежегодный порядок осуществления мониторинга</w:t>
      </w:r>
      <w:r>
        <w:rPr>
          <w:rFonts w:eastAsia="Times New Roman"/>
          <w:color w:val="111111"/>
          <w:sz w:val="24"/>
          <w:highlight w:val="white"/>
          <w:u w:val="single"/>
          <w:vertAlign w:val="superscript"/>
        </w:rPr>
        <w:footnoteReference w:id="3"/>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73"/>
        <w:gridCol w:w="3666"/>
        <w:gridCol w:w="4932"/>
      </w:tblGrid>
      <w:tr w:rsidR="00F521C8">
        <w:tc>
          <w:tcPr>
            <w:tcW w:w="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b/>
                <w:color w:val="111111"/>
                <w:sz w:val="24"/>
                <w:highlight w:val="white"/>
              </w:rPr>
              <w:t>Сроки</w:t>
            </w:r>
          </w:p>
        </w:tc>
        <w:tc>
          <w:tcPr>
            <w:tcW w:w="510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b/>
                <w:color w:val="111111"/>
                <w:sz w:val="24"/>
                <w:highlight w:val="white"/>
              </w:rPr>
              <w:t>Вид работ</w:t>
            </w:r>
          </w:p>
        </w:tc>
        <w:tc>
          <w:tcPr>
            <w:tcW w:w="37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b/>
                <w:color w:val="111111"/>
                <w:sz w:val="24"/>
                <w:highlight w:val="white"/>
              </w:rPr>
              <w:t>Ответственные</w:t>
            </w:r>
          </w:p>
        </w:tc>
      </w:tr>
      <w:tr w:rsidR="00F521C8">
        <w:tc>
          <w:tcPr>
            <w:tcW w:w="9246" w:type="dxa"/>
            <w:gridSpan w:val="3"/>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jc w:val="center"/>
              <w:rPr>
                <w:rFonts w:hint="default"/>
              </w:rPr>
            </w:pPr>
            <w:r>
              <w:rPr>
                <w:rFonts w:eastAsia="Times New Roman"/>
                <w:b/>
                <w:color w:val="111111"/>
                <w:sz w:val="24"/>
                <w:highlight w:val="white"/>
              </w:rPr>
              <w:t>___ этап</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rPr>
                <w:rFonts w:hint="default"/>
              </w:rPr>
            </w:pPr>
            <w:r>
              <w:rPr>
                <w:rFonts w:eastAsia="Times New Roman"/>
                <w:color w:val="111111"/>
                <w:sz w:val="24"/>
                <w:highlight w:val="white"/>
              </w:rPr>
              <w:t xml:space="preserve">I квартал </w:t>
            </w:r>
            <w:r>
              <w:rPr>
                <w:rFonts w:eastAsia="Times New Roman"/>
                <w:color w:val="111111"/>
                <w:sz w:val="24"/>
              </w:rPr>
              <w:t>_____г.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rPr>
                <w:rFonts w:hint="default"/>
              </w:rPr>
            </w:pPr>
            <w:r>
              <w:rPr>
                <w:rFonts w:eastAsia="Times New Roman"/>
                <w:color w:val="111111"/>
                <w:sz w:val="24"/>
                <w:highlight w:val="white"/>
              </w:rPr>
              <w:t xml:space="preserve">Подготовка модулей ввода данных Подготовка форм таблиц на Яндекс-диске. Подготовка выходных форм отчётов (диаграмм, графиков, таблиц)            Рассылка информационных писем библиотекам-участникам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jc w:val="center"/>
              <w:rPr>
                <w:rFonts w:hint="default"/>
              </w:rPr>
            </w:pPr>
            <w:r>
              <w:rPr>
                <w:rFonts w:eastAsia="Times New Roman"/>
                <w:color w:val="111111"/>
                <w:sz w:val="24"/>
                <w:highlight w:val="white"/>
              </w:rPr>
              <w:t>Сектор изучения библиотечных фондов НМО РНБ</w:t>
            </w:r>
          </w:p>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jc w:val="center"/>
              <w:rPr>
                <w:rFonts w:hint="default"/>
              </w:rPr>
            </w:pPr>
            <w:r>
              <w:rPr>
                <w:rFonts w:eastAsia="Times New Roman"/>
                <w:b/>
                <w:color w:val="111111"/>
                <w:sz w:val="24"/>
                <w:highlight w:val="white"/>
              </w:rPr>
              <w:t> </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line="65" w:lineRule="atLeast"/>
              <w:jc w:val="left"/>
              <w:rPr>
                <w:rFonts w:hint="default"/>
              </w:rPr>
            </w:pPr>
            <w:r>
              <w:rPr>
                <w:rFonts w:eastAsia="Times New Roman"/>
                <w:color w:val="111111"/>
                <w:sz w:val="24"/>
                <w:highlight w:val="white"/>
              </w:rPr>
              <w:t>I-I</w:t>
            </w:r>
            <w:r>
              <w:rPr>
                <w:rFonts w:eastAsia="Times New Roman"/>
                <w:color w:val="111111"/>
                <w:sz w:val="24"/>
                <w:highlight w:val="white"/>
              </w:rPr>
              <w:t>I квартал</w:t>
            </w:r>
          </w:p>
          <w:p w:rsidR="00F521C8" w:rsidRDefault="004600ED">
            <w:pPr>
              <w:pBdr>
                <w:top w:val="none" w:sz="4" w:space="0" w:color="000000"/>
                <w:left w:val="none" w:sz="4" w:space="0" w:color="000000"/>
                <w:bottom w:val="none" w:sz="4" w:space="0" w:color="000000"/>
                <w:right w:val="none" w:sz="4" w:space="0" w:color="000000"/>
              </w:pBdr>
              <w:spacing w:before="240" w:after="240"/>
              <w:jc w:val="left"/>
              <w:rPr>
                <w:rFonts w:hint="default"/>
              </w:rPr>
            </w:pPr>
            <w:r>
              <w:rPr>
                <w:rFonts w:eastAsia="Times New Roman"/>
                <w:color w:val="111111"/>
                <w:sz w:val="24"/>
              </w:rPr>
              <w:t>_____г.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xml:space="preserve"> Подведение итогов ___ этапа исследования на ВНПК «Фонды библиотек в цифровую эпоху...» (март–апрель 20__г.). Обсуждение рекомендаций органам власти</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Сектор изучения библиотечных фондов НМО РНБ.               Совместно:                     Региональные проектные офисы по созданию модельных библиотек</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II–III кварталы</w:t>
            </w:r>
          </w:p>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rPr>
              <w:t>_____г.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xml:space="preserve">Сбор и обработка данных для БД «Формирование и использование фондов модельных библиотек»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Сектор изучения библиотечных фондов НМО РНБ, ГИВЦ</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 -</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Ввод данных в БД «Формирование фондов модельных библиотек».                      Модельные библиотеки, создан</w:t>
            </w:r>
            <w:r>
              <w:rPr>
                <w:rFonts w:eastAsia="Times New Roman"/>
                <w:color w:val="111111"/>
                <w:sz w:val="24"/>
                <w:highlight w:val="white"/>
              </w:rPr>
              <w:t xml:space="preserve">ные в  ___г. (данные за 4 года: предпроектный, год модернизации, два последующих)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Модельные библиотеки, региональные проектные офисы по созданию модельных библиотек</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 -</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Анкетирование сотрудников модельных библиотек, созданных в 20__г.</w:t>
            </w:r>
          </w:p>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xml:space="preserve">Анкетирование читателей модельных библиотек, созданных в 20__г.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Сектор изучения библиотечных фондов НМО РНБ                  Модельные библиотеки, региональные проектные офисы по созданию модельных библиотек</w:t>
            </w:r>
          </w:p>
        </w:tc>
      </w:tr>
      <w:tr w:rsidR="00F521C8">
        <w:trPr>
          <w:trHeight w:val="1660"/>
        </w:trPr>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II–IV кварталы</w:t>
            </w:r>
          </w:p>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rPr>
              <w:t>_____г.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Проведение конкурса «Золотая полка» 20__г.                                                   Итоги конкурса и награждение победителей ежегодно на ВНПК «Фонды библиотек в цифровую эпоху...» (март–апрель 20__г.)</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Сектор изучения библиотечных фондов НМО РНБ.</w:t>
            </w:r>
          </w:p>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 Совместно:  РГДБ</w:t>
            </w:r>
          </w:p>
        </w:tc>
      </w:tr>
      <w:tr w:rsidR="00F521C8">
        <w:trPr>
          <w:trHeight w:val="901"/>
        </w:trPr>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xml:space="preserve">IV квартал 20__г. </w:t>
            </w:r>
            <w:r>
              <w:rPr>
                <w:rFonts w:eastAsia="Times New Roman"/>
                <w:color w:val="111111"/>
                <w:sz w:val="24"/>
              </w:rPr>
              <w:t>—</w:t>
            </w:r>
            <w:r>
              <w:rPr>
                <w:rFonts w:eastAsia="Times New Roman"/>
                <w:color w:val="111111"/>
                <w:sz w:val="24"/>
                <w:highlight w:val="white"/>
              </w:rPr>
              <w:t xml:space="preserve"> I квартал 20__г.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Подготовка отчёта по результатам мониторинга текущего года.  Размещение результатов исследования</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 </w:t>
            </w:r>
          </w:p>
        </w:tc>
      </w:tr>
      <w:tr w:rsidR="00F521C8">
        <w:tc>
          <w:tcPr>
            <w:tcW w:w="9246" w:type="dxa"/>
            <w:gridSpan w:val="3"/>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b/>
                <w:color w:val="111111"/>
                <w:sz w:val="24"/>
                <w:highlight w:val="white"/>
              </w:rPr>
              <w:t>___ этап</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I–квартал</w:t>
            </w:r>
          </w:p>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20__г.</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xml:space="preserve">Информирование участников исследования о результатах завершённого этапа мониторинга </w:t>
            </w:r>
            <w:r>
              <w:rPr>
                <w:rFonts w:eastAsia="Times New Roman"/>
                <w:color w:val="111111"/>
                <w:sz w:val="24"/>
              </w:rPr>
              <w:t xml:space="preserve">_____г. </w:t>
            </w:r>
            <w:r>
              <w:rPr>
                <w:rFonts w:eastAsia="Times New Roman"/>
                <w:color w:val="111111"/>
                <w:sz w:val="24"/>
                <w:highlight w:val="white"/>
              </w:rPr>
              <w:t xml:space="preserve">и начале мониторинга </w:t>
            </w:r>
            <w:r>
              <w:rPr>
                <w:rFonts w:eastAsia="Times New Roman"/>
                <w:color w:val="111111"/>
                <w:sz w:val="24"/>
              </w:rPr>
              <w:t xml:space="preserve">_____г.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Сектор изучения библиотечных фондов НМО РНБ, проектные офисы ЦБ субъектов РФ</w:t>
            </w:r>
          </w:p>
        </w:tc>
      </w:tr>
      <w:tr w:rsidR="00F521C8">
        <w:tc>
          <w:tcPr>
            <w:tcW w:w="41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II–IV кварталы</w:t>
            </w:r>
          </w:p>
        </w:tc>
        <w:tc>
          <w:tcPr>
            <w:tcW w:w="510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hd w:val="clear" w:color="FFFFFF" w:fill="FFFFFF"/>
              <w:spacing w:before="240" w:after="240"/>
              <w:rPr>
                <w:rFonts w:hint="default"/>
              </w:rPr>
            </w:pPr>
            <w:r>
              <w:rPr>
                <w:rFonts w:eastAsia="Times New Roman"/>
                <w:color w:val="111111"/>
                <w:sz w:val="24"/>
                <w:highlight w:val="white"/>
              </w:rPr>
              <w:t>Осуществляются по схеме предыдущего года и в соответствии с этапами мониторинга по хронологическому охвату</w:t>
            </w:r>
          </w:p>
          <w:p w:rsidR="00F521C8" w:rsidRDefault="004600ED">
            <w:pPr>
              <w:pBdr>
                <w:top w:val="none" w:sz="4" w:space="0" w:color="000000"/>
                <w:left w:val="none" w:sz="4" w:space="0" w:color="000000"/>
                <w:bottom w:val="none" w:sz="4" w:space="0" w:color="000000"/>
                <w:right w:val="none" w:sz="4" w:space="0" w:color="000000"/>
              </w:pBdr>
              <w:spacing w:before="240" w:after="240"/>
              <w:rPr>
                <w:rFonts w:hint="default"/>
              </w:rPr>
            </w:pPr>
            <w:r>
              <w:rPr>
                <w:rFonts w:eastAsia="Times New Roman"/>
                <w:color w:val="111111"/>
                <w:sz w:val="24"/>
                <w:highlight w:val="white"/>
              </w:rPr>
              <w:t> </w:t>
            </w:r>
          </w:p>
        </w:tc>
        <w:tc>
          <w:tcPr>
            <w:tcW w:w="37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before="240" w:after="240"/>
              <w:jc w:val="center"/>
              <w:rPr>
                <w:rFonts w:hint="default"/>
              </w:rPr>
            </w:pPr>
            <w:r>
              <w:rPr>
                <w:rFonts w:eastAsia="Times New Roman"/>
                <w:color w:val="111111"/>
                <w:sz w:val="24"/>
                <w:highlight w:val="white"/>
              </w:rPr>
              <w:t> </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jc w:val="left"/>
        <w:rPr>
          <w:rFonts w:hint="default"/>
        </w:rPr>
      </w:pPr>
      <w:r>
        <w:rPr>
          <w:rFonts w:eastAsia="Times New Roman"/>
          <w:b/>
          <w:color w:val="111111"/>
          <w:sz w:val="24"/>
          <w:highlight w:val="white"/>
        </w:rPr>
        <w:t>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111111"/>
          <w:sz w:val="24"/>
          <w:highlight w:val="white"/>
        </w:rPr>
        <w:t>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111111"/>
          <w:sz w:val="24"/>
          <w:highlight w:val="white"/>
        </w:rPr>
        <w:t>Оценка состава и использования фондов модельных библиотек</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Ф — величина документного фонда на физических (материальных) носителях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Фэ — фонд сетевых ресурсов удаленного доступа (доступных в соответствии с лицензионными договорами)</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Фн — объём новых поступлений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Фв — объём выбытия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В — книговыдача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Вэ — выдача в удалённом режиме</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А — число зарегистрированных стационарных пользователей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Аэ — </w:t>
      </w:r>
      <w:r>
        <w:rPr>
          <w:rFonts w:eastAsia="Times New Roman"/>
          <w:color w:val="000000"/>
          <w:sz w:val="24"/>
        </w:rPr>
        <w:t>число удалённых пользователей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 — обращаемость фонда на физических (материальных носителях)</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 — книгообеспеченность стационарного пользователя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Кж — книгообеспеченность жителя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Ч — читаемость</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Кс — коэффициент соответствия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Тр — темп роста (коэффициент роста)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Он — обновляемость фонда</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jc w:val="center"/>
        <w:rPr>
          <w:rFonts w:hint="default"/>
        </w:rPr>
      </w:pPr>
      <w:r>
        <w:rPr>
          <w:rFonts w:eastAsia="Times New Roman"/>
          <w:b/>
          <w:color w:val="000000"/>
          <w:sz w:val="24"/>
        </w:rPr>
        <w:t>Формулы для расчёта основных показателей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В = А*Ч</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Ч = В/А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 = В/Ф</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 = Ф/А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Ф = К*А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Кс= В %/Ф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I. Анализ динамики основных показателей</w:t>
      </w:r>
      <w:r>
        <w:rPr>
          <w:rFonts w:eastAsia="Times New Roman"/>
          <w:color w:val="000000"/>
          <w:sz w:val="24"/>
        </w:rPr>
        <w:t xml:space="preserve"> (Ф, А, В)</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Изучение библиотечного фонда в динамике позволяет выявить устойчивые тенденции его развития, основные наметившиеся изменения.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Для анализа динамики документного фонда на физических носителях рассчитываются темпы роста фонда печатных изданий, книговыдачи, чи</w:t>
      </w:r>
      <w:r>
        <w:rPr>
          <w:rFonts w:eastAsia="Times New Roman"/>
          <w:color w:val="000000"/>
          <w:sz w:val="24"/>
        </w:rPr>
        <w:t>тателей (зарегистрированных стационарных пользователей).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Темпом роста (или коэффициентом роста) называется отношение показателей последующего периода к предыдущему.</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Тр = значение показателя за последующий год / значение показателя за предшествующий год</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Для</w:t>
      </w:r>
      <w:r>
        <w:rPr>
          <w:rFonts w:eastAsia="Times New Roman"/>
          <w:color w:val="000000"/>
          <w:sz w:val="24"/>
        </w:rPr>
        <w:t xml:space="preserve"> анализа берутся показатели фонда печатных изданий.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000000"/>
          <w:sz w:val="24"/>
        </w:rPr>
        <w:t xml:space="preserve">Пример 1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 xml:space="preserve">Таблица 2. </w:t>
      </w:r>
      <w:r>
        <w:rPr>
          <w:rFonts w:eastAsia="Times New Roman"/>
          <w:color w:val="000000"/>
          <w:sz w:val="24"/>
        </w:rPr>
        <w:t>Показатели фонда печатных изданий для расчёта темпов роста</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363"/>
        <w:gridCol w:w="1996"/>
        <w:gridCol w:w="2180"/>
        <w:gridCol w:w="2180"/>
      </w:tblGrid>
      <w:tr w:rsidR="00F521C8">
        <w:tc>
          <w:tcPr>
            <w:tcW w:w="23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Годы</w:t>
            </w:r>
          </w:p>
        </w:tc>
        <w:tc>
          <w:tcPr>
            <w:tcW w:w="199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Фонд</w:t>
            </w:r>
          </w:p>
        </w:tc>
        <w:tc>
          <w:tcPr>
            <w:tcW w:w="21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Читатели (стационарные пользователи)</w:t>
            </w:r>
          </w:p>
        </w:tc>
        <w:tc>
          <w:tcPr>
            <w:tcW w:w="21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Книговыдача</w:t>
            </w:r>
          </w:p>
        </w:tc>
      </w:tr>
      <w:tr w:rsidR="00F521C8">
        <w:tc>
          <w:tcPr>
            <w:tcW w:w="236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xml:space="preserve">Предшествующий </w:t>
            </w:r>
          </w:p>
        </w:tc>
        <w:tc>
          <w:tcPr>
            <w:tcW w:w="199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506 251</w:t>
            </w:r>
          </w:p>
        </w:tc>
        <w:tc>
          <w:tcPr>
            <w:tcW w:w="21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50 602</w:t>
            </w:r>
          </w:p>
        </w:tc>
        <w:tc>
          <w:tcPr>
            <w:tcW w:w="21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1 127 858</w:t>
            </w:r>
          </w:p>
        </w:tc>
      </w:tr>
      <w:tr w:rsidR="00F521C8">
        <w:tc>
          <w:tcPr>
            <w:tcW w:w="236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xml:space="preserve">Анализируемый </w:t>
            </w:r>
          </w:p>
        </w:tc>
        <w:tc>
          <w:tcPr>
            <w:tcW w:w="199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526 614</w:t>
            </w:r>
          </w:p>
        </w:tc>
        <w:tc>
          <w:tcPr>
            <w:tcW w:w="21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51 966</w:t>
            </w:r>
          </w:p>
        </w:tc>
        <w:tc>
          <w:tcPr>
            <w:tcW w:w="21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1 162 729</w:t>
            </w:r>
          </w:p>
        </w:tc>
      </w:tr>
    </w:tbl>
    <w:p w:rsidR="00F521C8" w:rsidRDefault="004600ED">
      <w:pPr>
        <w:pBdr>
          <w:top w:val="none" w:sz="4" w:space="0" w:color="000000"/>
          <w:left w:val="none" w:sz="4" w:space="0" w:color="000000"/>
          <w:bottom w:val="none" w:sz="4" w:space="0" w:color="000000"/>
          <w:right w:val="none" w:sz="4" w:space="0" w:color="000000"/>
        </w:pBdr>
        <w:spacing w:before="240" w:line="85" w:lineRule="atLeast"/>
        <w:ind w:firstLine="709"/>
        <w:rPr>
          <w:rFonts w:hint="default"/>
        </w:rPr>
      </w:pPr>
      <w:r>
        <w:rPr>
          <w:rFonts w:eastAsia="Times New Roman"/>
          <w:color w:val="000000"/>
          <w:sz w:val="24"/>
        </w:rPr>
        <w:t>В данном примере:</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Коэффициент роста книжного фонда</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xml:space="preserve">ТрФ = </w:t>
      </w:r>
      <w:r>
        <w:rPr>
          <w:rFonts w:eastAsia="Times New Roman"/>
          <w:color w:val="000000"/>
          <w:sz w:val="24"/>
          <w:u w:val="single"/>
        </w:rPr>
        <w:t xml:space="preserve">526614 </w:t>
      </w:r>
      <w:r>
        <w:rPr>
          <w:rFonts w:eastAsia="Times New Roman"/>
          <w:color w:val="000000"/>
          <w:sz w:val="24"/>
        </w:rPr>
        <w:t>= 1,01</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506251</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Коэффициент роста читателей</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xml:space="preserve"> ТрА = </w:t>
      </w:r>
      <w:r>
        <w:rPr>
          <w:rFonts w:eastAsia="Times New Roman"/>
          <w:color w:val="000000"/>
          <w:sz w:val="24"/>
          <w:u w:val="single"/>
        </w:rPr>
        <w:t>51966</w:t>
      </w:r>
      <w:r>
        <w:rPr>
          <w:rFonts w:eastAsia="Times New Roman"/>
          <w:color w:val="000000"/>
          <w:sz w:val="24"/>
        </w:rPr>
        <w:t xml:space="preserve"> = 1,02</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50602</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Коэффициент роста книговыдачи</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xml:space="preserve">ТрВ = </w:t>
      </w:r>
      <w:r>
        <w:rPr>
          <w:rFonts w:eastAsia="Times New Roman"/>
          <w:color w:val="000000"/>
          <w:sz w:val="24"/>
          <w:u w:val="single"/>
        </w:rPr>
        <w:t>1162729</w:t>
      </w:r>
      <w:r>
        <w:rPr>
          <w:rFonts w:eastAsia="Times New Roman"/>
          <w:color w:val="000000"/>
          <w:sz w:val="24"/>
        </w:rPr>
        <w:t>= 1,02</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1127858</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ТрФ&lt;ТрА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ТрФ&lt;ТрВ</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Темпы роста читателей и книговыдачи незначительно отстают от темпов роста книжного фонда, что может быть расценено как положительное явление.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ТрА =ТрВ, то есть увеличение книговыдачи произошло за счёт увеличения количества читателей.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Для анализа </w:t>
      </w:r>
      <w:r>
        <w:rPr>
          <w:rFonts w:eastAsia="Times New Roman"/>
          <w:color w:val="000000"/>
          <w:sz w:val="24"/>
        </w:rPr>
        <w:t>данных используется табл. 3.</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 xml:space="preserve">Таблица 3. </w:t>
      </w:r>
      <w:r>
        <w:rPr>
          <w:rFonts w:eastAsia="Times New Roman"/>
          <w:color w:val="000000"/>
          <w:sz w:val="24"/>
        </w:rPr>
        <w:t>Темпы роста.</w:t>
      </w:r>
      <w:r>
        <w:rPr>
          <w:rFonts w:eastAsia="Times New Roman"/>
          <w:b/>
          <w:color w:val="000000"/>
          <w:sz w:val="24"/>
        </w:rPr>
        <w:t xml:space="preserve"> </w:t>
      </w:r>
      <w:r>
        <w:rPr>
          <w:rFonts w:eastAsia="Times New Roman"/>
          <w:color w:val="000000"/>
          <w:sz w:val="24"/>
        </w:rPr>
        <w:t>Управленческие решения</w:t>
      </w:r>
      <w:r>
        <w:rPr>
          <w:rFonts w:eastAsia="Times New Roman"/>
          <w:b/>
          <w:color w:val="000000"/>
          <w:sz w:val="24"/>
        </w:rPr>
        <w:t xml:space="preserve"> </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06"/>
        <w:gridCol w:w="2502"/>
        <w:gridCol w:w="4063"/>
      </w:tblGrid>
      <w:tr w:rsidR="00F521C8">
        <w:tc>
          <w:tcPr>
            <w:tcW w:w="3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Описание и объяснение данных</w:t>
            </w:r>
          </w:p>
        </w:tc>
        <w:tc>
          <w:tcPr>
            <w:tcW w:w="221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Прогнозируемое следствие</w:t>
            </w:r>
          </w:p>
        </w:tc>
        <w:tc>
          <w:tcPr>
            <w:tcW w:w="410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Управленческое решение</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b/>
                <w:color w:val="000000"/>
                <w:sz w:val="24"/>
              </w:rPr>
              <w:t>Ситуация 1</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ТрВ=0,8 ТрА=1,4 ТрФ =1,1</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ТрВ&lt;ТрА ТрВ&lt;ТрФ ТрФ&lt;ТрА</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Такое соотношение показывает, что интенсификации использования фонда нет, так как темпы роста книговыдачи ТрВ значительно отстают от темпов роста читателей (ТрА) и темпов роста фонда (ТрФ), а темпы роста фонда (ТрФ) меньше темпов роста читателей (ТрА)</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xml:space="preserve">Может привести к недостаточной книгообеспеченности, росту неудовлетворенных запросов, снижению читаемости, к дальнейшему падению интенсификации использования фонда.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Увеличение темпов роста фонда за счёт увеличения размера ежегодных поступлений. Значительн</w:t>
            </w:r>
            <w:r>
              <w:rPr>
                <w:rFonts w:eastAsia="Times New Roman"/>
                <w:color w:val="000000"/>
                <w:sz w:val="24"/>
              </w:rPr>
              <w:t>ая активизация работы по продвижению библиотечного фонда для увеличения темпов роста книговыдачи.</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b/>
                <w:color w:val="000000"/>
                <w:sz w:val="24"/>
              </w:rPr>
              <w:t>Ситуация 2</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ТрВ=1,3 ТрА=1,2 ТрФ=1,5</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ТрВ&gt;ТрА ТрФ&gt;ТрВ ТрФ&gt;ТрА</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rPr>
          <w:trHeight w:val="1751"/>
        </w:trPr>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xml:space="preserve">Такое соотношение темпов роста говорит об интенсификации использования фондов. Однако книжный фонд растет значительно быстрее, чем число читателей и книговыдачи. </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xml:space="preserve">Может привести к увеличению неиспользуемой части фонда и к снижению обращаемости фонда.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Активизация деятельности по привлечению новых читателей, принятие мер по продвижению библиотеки в целом через местные СМИ (газеты, радио, ТВ), социальные сети. Организация и участие в различных акциях по продвижению книги и чтения и новинок библиотечного ф</w:t>
            </w:r>
            <w:r>
              <w:rPr>
                <w:rFonts w:eastAsia="Times New Roman"/>
                <w:color w:val="000000"/>
                <w:sz w:val="24"/>
              </w:rPr>
              <w:t>онда.</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b/>
                <w:color w:val="000000"/>
                <w:sz w:val="24"/>
              </w:rPr>
              <w:t>Ситуация 3</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ТрВ=1,1 ТрА=1,1 ТрФ=1,2</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ТрВ=ТрА ТрФ&gt;ТрА ТрФ&gt;ТрВ</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Такое соотношение темпов роста говорит об отсутствии интенсификации использования фонда, так как рост книговыдачи произошёл за счёт роста читателей. Темпы роста фонда незначительно опережают темпы роста читателей. Это явление положительное, так как обеспеч</w:t>
            </w:r>
            <w:r>
              <w:rPr>
                <w:rFonts w:eastAsia="Times New Roman"/>
                <w:color w:val="000000"/>
                <w:sz w:val="24"/>
              </w:rPr>
              <w:t>ивает надёжность фонда для удовлетворения потребностей читателей</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Может привести к падению интенсификации использования фонда, падению обращаемости.</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Совершенствование работы по продвижению и раскрытию фонда, улучшение информации о фонде библиотеки (через сайт, социальные сети, СМИ и другие формы).</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b/>
                <w:color w:val="000000"/>
                <w:sz w:val="24"/>
              </w:rPr>
              <w:t>Ситуация 4</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ТрВ=1,4 ТрА=1,08 ТрФ=1,09</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rPr>
          <w:trHeight w:val="529"/>
        </w:trPr>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ТрВ&gt;ТрА ТрФ&lt;ТрВ ТрФ&gt;ТрА</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 </w:t>
            </w:r>
          </w:p>
        </w:tc>
      </w:tr>
      <w:tr w:rsidR="00F521C8">
        <w:tc>
          <w:tcPr>
            <w:tcW w:w="303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Книжный фонд используется интенсивно. Такое соотношение темпов роста показателей оценивается как положительное. Объём фонда удовлетворяет темпу роста числа читателей.</w:t>
            </w:r>
          </w:p>
        </w:tc>
        <w:tc>
          <w:tcPr>
            <w:tcW w:w="22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Может привести к дальнейшей интенсификации использования книжного фонда.</w:t>
            </w:r>
          </w:p>
        </w:tc>
        <w:tc>
          <w:tcPr>
            <w:tcW w:w="410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Поддержание данн</w:t>
            </w:r>
            <w:r>
              <w:rPr>
                <w:rFonts w:eastAsia="Times New Roman"/>
                <w:color w:val="000000"/>
                <w:sz w:val="24"/>
              </w:rPr>
              <w:t>ого соотношения темпов роста показателей. Резерв повышения эффективности использования фонда — совершенствование качественного состава фонда и методов его раскрытия и продвижения.</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II. Анализ обновляемости книжного фонда</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Рассчитывается обновляемость фонда </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Он = (Фн – Фв) / Ф *100%</w:t>
      </w:r>
    </w:p>
    <w:p w:rsidR="00F521C8" w:rsidRDefault="004600ED">
      <w:pPr>
        <w:pBdr>
          <w:top w:val="none" w:sz="4" w:space="0" w:color="000000"/>
          <w:left w:val="none" w:sz="4" w:space="0" w:color="000000"/>
          <w:bottom w:val="none" w:sz="4" w:space="0" w:color="000000"/>
          <w:right w:val="none" w:sz="4" w:space="0" w:color="000000"/>
        </w:pBdr>
        <w:ind w:firstLine="709"/>
        <w:rPr>
          <w:rFonts w:hint="default"/>
        </w:rPr>
      </w:pPr>
      <w:r>
        <w:rPr>
          <w:rFonts w:eastAsia="Times New Roman"/>
          <w:color w:val="000000"/>
          <w:sz w:val="24"/>
        </w:rPr>
        <w:t>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000000"/>
          <w:sz w:val="24"/>
        </w:rPr>
        <w:t xml:space="preserve">Пример 2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Он = Фн 2020/Фв2020/Ф* 100 = 1538-731/21831 *100 = 3,7 %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Количество новых поступлений на 1000 жителей рассчитывают для сопоставления с рекомендуемым международным нормативом ИФЛА для публичных библиотек 250 новых книг на 1000 жителей в составе новых поступлений.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Кж= Ф / кол. жит.</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 1000 ж= Фн / кол. жит/1000</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Про</w:t>
      </w:r>
      <w:r>
        <w:rPr>
          <w:rFonts w:eastAsia="Times New Roman"/>
          <w:color w:val="000000"/>
          <w:sz w:val="24"/>
        </w:rPr>
        <w:t>водится оценка объёма фонда и показателей книгообеспеченности на жителя, объёма новых поступлений с использованием рекомендуемых нормативов (Приложение 6. Рекомендуемые базовые нормативы для формирования библиотечных фондов муниципальных библиотек).</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III. А</w:t>
      </w:r>
      <w:r>
        <w:rPr>
          <w:rFonts w:eastAsia="Times New Roman"/>
          <w:b/>
          <w:color w:val="000000"/>
          <w:sz w:val="24"/>
        </w:rPr>
        <w:t>нализ финансирования и освоения средств на комплектование</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Анализируется структура средств, выделенных на комплектование, включая федеральные субсидии, выделенные по проекту, средства, выделенные учредителем библиотеки (муниципальный бюджет), средства, выде</w:t>
      </w:r>
      <w:r>
        <w:rPr>
          <w:rFonts w:eastAsia="Times New Roman"/>
          <w:color w:val="000000"/>
          <w:sz w:val="24"/>
        </w:rPr>
        <w:t>ленные региональным бюджетом или из других источников, определяется, сколько экземпляров документов и на какую сумму приобретено для фонда за счёт бюджетов разного уровня.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Проводится анализ распределения бюджетов на комплектование художественной, отраслево</w:t>
      </w:r>
      <w:r>
        <w:rPr>
          <w:rFonts w:eastAsia="Times New Roman"/>
          <w:color w:val="111111"/>
          <w:sz w:val="24"/>
          <w:highlight w:val="white"/>
        </w:rPr>
        <w:t>й литературы и электронных ресурсов (в среднем на библиотеку) по видам и статусу.</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Важное значение для анализа имеет контроль выполнения учредителем выданных гарантий финансирования комплектования по проекту в течение 3-х лет после начала проекта.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Анализ и</w:t>
      </w:r>
      <w:r>
        <w:rPr>
          <w:rFonts w:eastAsia="Times New Roman"/>
          <w:color w:val="000000"/>
          <w:sz w:val="24"/>
        </w:rPr>
        <w:t>спользованных способов госзакупки для текущего комплектования библиотеки позволяет установить эффективность использования средств, выявить средние цены закупки для различных видов документов.</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Особое внимание уделяется оценке финансирования и использования </w:t>
      </w:r>
      <w:r>
        <w:rPr>
          <w:rFonts w:eastAsia="Times New Roman"/>
          <w:color w:val="000000"/>
          <w:sz w:val="24"/>
        </w:rPr>
        <w:t>средств на текущее комплектование после окончания Проекта до окончания срока проведения мониторинга.</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IV. Расчёт и анализ относительных показателей эффективного</w:t>
      </w:r>
      <w:r>
        <w:rPr>
          <w:rFonts w:eastAsia="Times New Roman"/>
          <w:color w:val="000000"/>
          <w:sz w:val="24"/>
        </w:rPr>
        <w:t xml:space="preserve"> </w:t>
      </w:r>
      <w:r>
        <w:rPr>
          <w:rFonts w:eastAsia="Times New Roman"/>
          <w:b/>
          <w:color w:val="000000"/>
          <w:sz w:val="24"/>
        </w:rPr>
        <w:t>использования книжного фонда (обращаемость, читаемость, книгообеспеченность)</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Относительные или р</w:t>
      </w:r>
      <w:r>
        <w:rPr>
          <w:rFonts w:eastAsia="Times New Roman"/>
          <w:color w:val="000000"/>
          <w:sz w:val="24"/>
        </w:rPr>
        <w:t>асчетные показатели позволяют оценить эффективность использования фонда.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Основными относительными показателями являются: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 — обращаемость</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Ч — читаемость</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 — книгообеспеченность</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Расчёт основных показателей: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О — обращаемость фонда, рассчитывается как отношение книговыдачи к общему объёму фонда.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 В/Ф</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Обращаемость показывает — сколько раз в среднем каждая книга из фонда была выдана за отчётный год.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Ч — читаемость, рассчитывается как отношение книговыдачи к к</w:t>
      </w:r>
      <w:r>
        <w:rPr>
          <w:rFonts w:eastAsia="Times New Roman"/>
          <w:color w:val="000000"/>
          <w:sz w:val="24"/>
        </w:rPr>
        <w:t>оличеству читателей.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Ч= В/А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Читаемость показывает — сколько в среднем книг прочитал каждый читатель библиотеки за отчётный год.</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 — книгообеспеченность, рассчитывается как отношение фонда к количеству читателей.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К=Ф/А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Книгообеспеченность — показывает, ск</w:t>
      </w:r>
      <w:r>
        <w:rPr>
          <w:rFonts w:eastAsia="Times New Roman"/>
          <w:color w:val="000000"/>
          <w:sz w:val="24"/>
        </w:rPr>
        <w:t>олько в среднем книг приходится в фонде на одного читателя.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Показатели обращаемости, книгообеспеченности, читаемости оцениваются в едином комплексе, так как изменение одного показателя неизбежно ведёт к изменениям другого.</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Для оценки показателей используют</w:t>
      </w:r>
      <w:r>
        <w:rPr>
          <w:rFonts w:eastAsia="Times New Roman"/>
          <w:color w:val="000000"/>
          <w:sz w:val="24"/>
        </w:rPr>
        <w:t>ся средние показатели по России для муниципальных библиотек.</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000000"/>
          <w:sz w:val="24"/>
        </w:rPr>
        <w:t>Пример 2</w:t>
      </w:r>
    </w:p>
    <w:p w:rsidR="00F521C8" w:rsidRDefault="004600ED">
      <w:pPr>
        <w:pBdr>
          <w:top w:val="none" w:sz="4" w:space="0" w:color="000000"/>
          <w:left w:val="none" w:sz="4" w:space="0" w:color="000000"/>
          <w:bottom w:val="none" w:sz="4" w:space="0" w:color="000000"/>
          <w:right w:val="none" w:sz="4" w:space="0" w:color="000000"/>
        </w:pBdr>
        <w:spacing w:before="240" w:after="240"/>
        <w:ind w:firstLine="709"/>
        <w:rPr>
          <w:rFonts w:hint="default"/>
        </w:rPr>
      </w:pPr>
      <w:r>
        <w:rPr>
          <w:rFonts w:eastAsia="Times New Roman"/>
          <w:b/>
          <w:color w:val="000000"/>
          <w:sz w:val="24"/>
        </w:rPr>
        <w:t xml:space="preserve">Таблица 4. </w:t>
      </w:r>
      <w:r>
        <w:rPr>
          <w:rFonts w:eastAsia="Times New Roman"/>
          <w:color w:val="000000"/>
          <w:sz w:val="24"/>
        </w:rPr>
        <w:t>Средние показатели работы муниципальных общедоступных библиотек РФ</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846"/>
        <w:gridCol w:w="1984"/>
        <w:gridCol w:w="2694"/>
        <w:gridCol w:w="2853"/>
      </w:tblGrid>
      <w:tr w:rsidR="00F521C8">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Год</w:t>
            </w:r>
          </w:p>
        </w:tc>
        <w:tc>
          <w:tcPr>
            <w:tcW w:w="19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Обращаемость</w:t>
            </w:r>
          </w:p>
        </w:tc>
        <w:tc>
          <w:tcPr>
            <w:tcW w:w="26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Читаемость</w:t>
            </w:r>
          </w:p>
        </w:tc>
        <w:tc>
          <w:tcPr>
            <w:tcW w:w="28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 xml:space="preserve">Книгообеспеченность </w:t>
            </w:r>
          </w:p>
        </w:tc>
      </w:tr>
      <w:tr w:rsidR="00F521C8">
        <w:tc>
          <w:tcPr>
            <w:tcW w:w="846"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2019</w:t>
            </w:r>
          </w:p>
        </w:tc>
        <w:tc>
          <w:tcPr>
            <w:tcW w:w="198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1,7</w:t>
            </w:r>
          </w:p>
        </w:tc>
        <w:tc>
          <w:tcPr>
            <w:tcW w:w="269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21,9</w:t>
            </w:r>
          </w:p>
        </w:tc>
        <w:tc>
          <w:tcPr>
            <w:tcW w:w="285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13,1</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color w:val="000000"/>
        </w:rPr>
        <w:tab/>
      </w:r>
      <w:r>
        <w:rPr>
          <w:rFonts w:eastAsia="Times New Roman"/>
          <w:b/>
          <w:color w:val="000000"/>
          <w:sz w:val="24"/>
        </w:rPr>
        <w:t xml:space="preserve">Таблица 5. </w:t>
      </w:r>
      <w:r>
        <w:rPr>
          <w:rFonts w:eastAsia="Times New Roman"/>
          <w:color w:val="000000"/>
          <w:sz w:val="24"/>
        </w:rPr>
        <w:t>Пример оценки показателей. 2019</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832"/>
        <w:gridCol w:w="2467"/>
        <w:gridCol w:w="2242"/>
        <w:gridCol w:w="2087"/>
        <w:gridCol w:w="1943"/>
      </w:tblGrid>
      <w:tr w:rsidR="00F521C8">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Год</w:t>
            </w:r>
          </w:p>
        </w:tc>
        <w:tc>
          <w:tcPr>
            <w:tcW w:w="213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Показатель</w:t>
            </w:r>
          </w:p>
        </w:tc>
        <w:tc>
          <w:tcPr>
            <w:tcW w:w="2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Средние показатели по модельным библиотекам</w:t>
            </w:r>
          </w:p>
        </w:tc>
        <w:tc>
          <w:tcPr>
            <w:tcW w:w="213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Высокое значение (В)</w:t>
            </w:r>
          </w:p>
        </w:tc>
        <w:tc>
          <w:tcPr>
            <w:tcW w:w="19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Низкое значение (Н)</w:t>
            </w:r>
          </w:p>
        </w:tc>
      </w:tr>
      <w:tr w:rsidR="00F521C8">
        <w:tc>
          <w:tcPr>
            <w:tcW w:w="84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2019</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Обращаемость</w:t>
            </w:r>
          </w:p>
        </w:tc>
        <w:tc>
          <w:tcPr>
            <w:tcW w:w="227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 ≥1,7</w:t>
            </w:r>
          </w:p>
        </w:tc>
        <w:tc>
          <w:tcPr>
            <w:tcW w:w="19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 </w:t>
            </w:r>
          </w:p>
        </w:tc>
      </w:tr>
      <w:tr w:rsidR="00F521C8">
        <w:tc>
          <w:tcPr>
            <w:tcW w:w="84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2019</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Читаемость</w:t>
            </w:r>
          </w:p>
        </w:tc>
        <w:tc>
          <w:tcPr>
            <w:tcW w:w="227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18,2</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 </w:t>
            </w:r>
          </w:p>
        </w:tc>
        <w:tc>
          <w:tcPr>
            <w:tcW w:w="19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18,2 &lt; 21,9</w:t>
            </w:r>
          </w:p>
        </w:tc>
      </w:tr>
      <w:tr w:rsidR="00F521C8">
        <w:tc>
          <w:tcPr>
            <w:tcW w:w="84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2019</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Книгообеспеченность</w:t>
            </w:r>
          </w:p>
        </w:tc>
        <w:tc>
          <w:tcPr>
            <w:tcW w:w="227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9,3</w:t>
            </w:r>
          </w:p>
        </w:tc>
        <w:tc>
          <w:tcPr>
            <w:tcW w:w="213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 </w:t>
            </w:r>
          </w:p>
        </w:tc>
        <w:tc>
          <w:tcPr>
            <w:tcW w:w="198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9 &lt; 13,1</w:t>
            </w:r>
          </w:p>
        </w:tc>
      </w:tr>
    </w:tbl>
    <w:p w:rsidR="00F521C8" w:rsidRDefault="004600ED">
      <w:pPr>
        <w:pBdr>
          <w:top w:val="none" w:sz="4" w:space="0" w:color="000000"/>
          <w:left w:val="none" w:sz="4" w:space="0" w:color="000000"/>
          <w:bottom w:val="none" w:sz="4" w:space="0" w:color="000000"/>
          <w:right w:val="none" w:sz="4" w:space="0" w:color="000000"/>
        </w:pBdr>
        <w:rPr>
          <w:rFonts w:hint="default"/>
        </w:rPr>
      </w:pPr>
      <w:r>
        <w:rPr>
          <w:rFonts w:eastAsia="Times New Roman"/>
          <w:color w:val="000000"/>
          <w:sz w:val="22"/>
        </w:rPr>
        <w:t> </w:t>
      </w:r>
    </w:p>
    <w:p w:rsidR="00F521C8" w:rsidRDefault="004600ED">
      <w:pPr>
        <w:pBdr>
          <w:top w:val="none" w:sz="4" w:space="0" w:color="000000"/>
          <w:left w:val="none" w:sz="4" w:space="0" w:color="000000"/>
          <w:bottom w:val="none" w:sz="4" w:space="0" w:color="000000"/>
          <w:right w:val="none" w:sz="4" w:space="0" w:color="000000"/>
        </w:pBdr>
        <w:spacing w:after="240" w:line="85" w:lineRule="atLeast"/>
        <w:ind w:firstLine="709"/>
        <w:rPr>
          <w:rFonts w:hint="default"/>
        </w:rPr>
      </w:pPr>
      <w:r>
        <w:rPr>
          <w:rFonts w:eastAsia="Times New Roman"/>
          <w:color w:val="000000"/>
          <w:sz w:val="24"/>
        </w:rPr>
        <w:t>Для оценки эффективности использования фонда применяется таблица 6.</w:t>
      </w:r>
    </w:p>
    <w:p w:rsidR="00F521C8" w:rsidRDefault="004600ED">
      <w:pPr>
        <w:pBdr>
          <w:top w:val="none" w:sz="4" w:space="0" w:color="000000"/>
          <w:left w:val="none" w:sz="4" w:space="0" w:color="000000"/>
          <w:bottom w:val="none" w:sz="4" w:space="0" w:color="000000"/>
          <w:right w:val="none" w:sz="4" w:space="0" w:color="000000"/>
        </w:pBdr>
        <w:spacing w:after="240" w:line="85" w:lineRule="atLeast"/>
        <w:ind w:firstLine="709"/>
        <w:rPr>
          <w:rFonts w:hint="default"/>
        </w:rPr>
      </w:pPr>
      <w:r>
        <w:rPr>
          <w:rFonts w:eastAsia="Times New Roman"/>
          <w:b/>
          <w:color w:val="000000"/>
          <w:sz w:val="24"/>
        </w:rPr>
        <w:t xml:space="preserve">Таблица 6. </w:t>
      </w:r>
      <w:r>
        <w:rPr>
          <w:rFonts w:eastAsia="Times New Roman"/>
          <w:color w:val="000000"/>
          <w:sz w:val="24"/>
        </w:rPr>
        <w:t>Эффективность использования фонда.</w:t>
      </w:r>
      <w:r>
        <w:rPr>
          <w:rFonts w:eastAsia="Times New Roman"/>
          <w:b/>
          <w:color w:val="000000"/>
          <w:sz w:val="24"/>
        </w:rPr>
        <w:t xml:space="preserve"> </w:t>
      </w:r>
      <w:r>
        <w:rPr>
          <w:rFonts w:eastAsia="Times New Roman"/>
          <w:color w:val="000000"/>
          <w:sz w:val="24"/>
        </w:rPr>
        <w:t>Управленческие решения.</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743"/>
        <w:gridCol w:w="2421"/>
        <w:gridCol w:w="5181"/>
      </w:tblGrid>
      <w:tr w:rsidR="00F521C8">
        <w:tc>
          <w:tcPr>
            <w:tcW w:w="17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Группа значений показателей</w:t>
            </w:r>
          </w:p>
        </w:tc>
        <w:tc>
          <w:tcPr>
            <w:tcW w:w="24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Оценка ситуации</w:t>
            </w:r>
          </w:p>
        </w:tc>
        <w:tc>
          <w:tcPr>
            <w:tcW w:w="51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Управленческое решение</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(В)</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Достаточно эффективное использование фонда</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Совершенствование рекламы фонда, рост обращаемости должен сочетаться с пропорциональным ростом книгообеспеченности и читаемости, так как сверхактивная читаемость может привести к быстрой изнашиваемости фонда</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(Н)</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Такое сочетание не является оптимальным и не позволяет говорить об эффективном использовании фонда</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Повышение книгообеспеченности, усиление работы по продвижению и раскрытию фонда</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(Н)</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Довольно интенсивное использование фонда</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Необходимо увеличить объём фонда (то есть поднять книгообеспеченность), чтобы предоставить читателям более широкий выбор литературы, что приведет к дальнейшему повышению читаемости</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(В)</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Состав фонда не соответствует потребностям читателей, работа по продвижению и рекламе фонда не ведется на должном уровне</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Изучение состава и использования фонда, освобождение от устаревшей, непрофильной литературы, пополнение фонда новыми изданиями, Усилени</w:t>
            </w:r>
            <w:r>
              <w:rPr>
                <w:rFonts w:eastAsia="Times New Roman"/>
                <w:color w:val="000000"/>
                <w:sz w:val="24"/>
              </w:rPr>
              <w:t>е работы по раскрытию, продвижению и рекламе фонда</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(В)</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(В)</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Фонд перенасыщен изданиями, имеет значительную хронологическую глубину</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Изучение фонда. Если высокая книгообеспеченность объясняется наличием в фонде значительной ценной части фонда, то снижать книгообеспеченность нецелесообразно. Если она объясняется просто тем, что давно не проводилось списание, то его надо провести, что под</w:t>
            </w:r>
            <w:r>
              <w:rPr>
                <w:rFonts w:eastAsia="Times New Roman"/>
                <w:color w:val="000000"/>
                <w:sz w:val="24"/>
              </w:rPr>
              <w:t>нимет обращаемость фонда.</w:t>
            </w:r>
          </w:p>
        </w:tc>
      </w:tr>
      <w:tr w:rsidR="00F521C8">
        <w:tc>
          <w:tcPr>
            <w:tcW w:w="174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О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Ч (Н)</w:t>
            </w:r>
          </w:p>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color w:val="000000"/>
                <w:sz w:val="24"/>
              </w:rPr>
              <w:t>К (Н)</w:t>
            </w:r>
          </w:p>
        </w:tc>
        <w:tc>
          <w:tcPr>
            <w:tcW w:w="242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В качественном и количественном отношении фонд не соответствует потребностям читателей. Работа с фондом не ведётся на должном уровне</w:t>
            </w:r>
          </w:p>
        </w:tc>
        <w:tc>
          <w:tcPr>
            <w:tcW w:w="518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Изменение политики комплектования и использования фонда, пополнение его новыми изданиями и ресурсами, соответствующими задачам библиотеки и потребностям читателей.</w:t>
            </w:r>
          </w:p>
          <w:p w:rsidR="00F521C8" w:rsidRDefault="004600ED">
            <w:pPr>
              <w:pBdr>
                <w:top w:val="none" w:sz="4" w:space="0" w:color="000000"/>
                <w:left w:val="none" w:sz="4" w:space="0" w:color="000000"/>
                <w:bottom w:val="none" w:sz="4" w:space="0" w:color="000000"/>
                <w:right w:val="none" w:sz="4" w:space="0" w:color="000000"/>
              </w:pBdr>
              <w:spacing w:line="85" w:lineRule="atLeast"/>
              <w:rPr>
                <w:rFonts w:hint="default"/>
              </w:rPr>
            </w:pPr>
            <w:r>
              <w:rPr>
                <w:rFonts w:eastAsia="Times New Roman"/>
                <w:color w:val="000000"/>
                <w:sz w:val="24"/>
              </w:rPr>
              <w:t>Проведение вторичного отбора, освобождение фонда от устаревшей литературы. Работа по продвиж</w:t>
            </w:r>
            <w:r>
              <w:rPr>
                <w:rFonts w:eastAsia="Times New Roman"/>
                <w:color w:val="000000"/>
                <w:sz w:val="24"/>
              </w:rPr>
              <w:t>ению, раскрытию и рекламе фонда</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 xml:space="preserve">V. Анализ видового состава библиотечного фонда на материальных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Рассчитываются проценты видов изданий на материальных носителях (книги, периодические издания, журналы, в том числе детские, газеты, электронные документы (прежде всего аудиовизуальные издания) на съёмных носителях, издания в спецформатах для слепых и слаб</w:t>
      </w:r>
      <w:r>
        <w:rPr>
          <w:rFonts w:eastAsia="Times New Roman"/>
          <w:color w:val="000000"/>
          <w:sz w:val="24"/>
        </w:rPr>
        <w:t xml:space="preserve">овидящих и др. по отношению к общему объёму фонда. Выявляется, насколько состав фонда по видовому составу изменился по отношению к предшествующему периоду до начала проведения проекта модернизации библиотеки. </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VI. Оценка состава и эффективности использован</w:t>
      </w:r>
      <w:r>
        <w:rPr>
          <w:rFonts w:eastAsia="Times New Roman"/>
          <w:b/>
          <w:color w:val="000000"/>
          <w:sz w:val="24"/>
        </w:rPr>
        <w:t>ия книжного фонда по отраслям</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Изучается качественный состав отраслевого книжного фонда и его использование, рассчитываются коэффициенты соответствия.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 xml:space="preserve">Коэффициент соответствия рассчитывается как отношение % отраслевого отдела в книговыдаче, к % отраслевого </w:t>
      </w:r>
      <w:r>
        <w:rPr>
          <w:rFonts w:eastAsia="Times New Roman"/>
          <w:color w:val="000000"/>
          <w:sz w:val="24"/>
        </w:rPr>
        <w:t>отдела в фонде.</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i/>
          <w:color w:val="000000"/>
          <w:sz w:val="24"/>
        </w:rPr>
        <w:t>Пример 3</w:t>
      </w:r>
    </w:p>
    <w:p w:rsidR="00F521C8" w:rsidRDefault="004600ED">
      <w:pPr>
        <w:pBdr>
          <w:top w:val="none" w:sz="4" w:space="0" w:color="000000"/>
          <w:left w:val="none" w:sz="4" w:space="0" w:color="000000"/>
          <w:bottom w:val="none" w:sz="4" w:space="0" w:color="000000"/>
          <w:right w:val="none" w:sz="4" w:space="0" w:color="000000"/>
        </w:pBdr>
        <w:spacing w:after="240" w:line="85" w:lineRule="atLeast"/>
        <w:ind w:firstLine="709"/>
        <w:rPr>
          <w:rFonts w:hint="default"/>
        </w:rPr>
      </w:pPr>
      <w:r>
        <w:rPr>
          <w:rFonts w:eastAsia="Times New Roman"/>
          <w:b/>
          <w:color w:val="000000"/>
          <w:sz w:val="24"/>
        </w:rPr>
        <w:t>Таблица 7.</w:t>
      </w:r>
      <w:r>
        <w:rPr>
          <w:rFonts w:eastAsia="Times New Roman"/>
          <w:color w:val="000000"/>
          <w:sz w:val="24"/>
        </w:rPr>
        <w:t xml:space="preserve"> Отраслевой состав фонда. Коэффициенты соответствия</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21"/>
        <w:gridCol w:w="974"/>
        <w:gridCol w:w="1140"/>
        <w:gridCol w:w="1039"/>
        <w:gridCol w:w="2113"/>
        <w:gridCol w:w="1260"/>
        <w:gridCol w:w="1424"/>
      </w:tblGrid>
      <w:tr w:rsidR="00F521C8">
        <w:trPr>
          <w:trHeight w:val="1275"/>
        </w:trPr>
        <w:tc>
          <w:tcPr>
            <w:tcW w:w="14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rPr>
                <w:rFonts w:hint="default"/>
              </w:rPr>
            </w:pPr>
            <w:r>
              <w:rPr>
                <w:rFonts w:eastAsia="Times New Roman"/>
                <w:color w:val="000000"/>
                <w:sz w:val="20"/>
              </w:rPr>
              <w:t>Раздел фонда</w:t>
            </w:r>
          </w:p>
        </w:tc>
        <w:tc>
          <w:tcPr>
            <w:tcW w:w="102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Величина фонда конкретного отдела</w:t>
            </w:r>
          </w:p>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i/>
                <w:color w:val="000000"/>
                <w:sz w:val="20"/>
              </w:rPr>
              <w:t>(Ф отр.)</w:t>
            </w:r>
          </w:p>
        </w:tc>
        <w:tc>
          <w:tcPr>
            <w:tcW w:w="124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Коэффициент укомплекто-ванности,</w:t>
            </w:r>
          </w:p>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 </w:t>
            </w:r>
            <w:r>
              <w:rPr>
                <w:rFonts w:eastAsia="Times New Roman"/>
                <w:i/>
                <w:color w:val="000000"/>
                <w:sz w:val="20"/>
              </w:rPr>
              <w:t>% ( Ф отр.)</w:t>
            </w:r>
          </w:p>
        </w:tc>
        <w:tc>
          <w:tcPr>
            <w:tcW w:w="110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 xml:space="preserve">Книговыдача из фонда конкретного отдела </w:t>
            </w:r>
          </w:p>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i/>
                <w:color w:val="000000"/>
                <w:sz w:val="20"/>
              </w:rPr>
              <w:t>(В отр.)</w:t>
            </w:r>
          </w:p>
        </w:tc>
        <w:tc>
          <w:tcPr>
            <w:tcW w:w="17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 xml:space="preserve">Коэффициент использования,                </w:t>
            </w:r>
            <w:r>
              <w:rPr>
                <w:rFonts w:eastAsia="Times New Roman"/>
                <w:i/>
                <w:color w:val="000000"/>
                <w:sz w:val="20"/>
              </w:rPr>
              <w:t> % (В отр.)</w:t>
            </w:r>
          </w:p>
        </w:tc>
        <w:tc>
          <w:tcPr>
            <w:tcW w:w="119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Коэффициент соответствия, %</w:t>
            </w:r>
            <w:r>
              <w:rPr>
                <w:rFonts w:eastAsia="Times New Roman"/>
                <w:i/>
                <w:color w:val="000000"/>
                <w:sz w:val="20"/>
              </w:rPr>
              <w:t xml:space="preserve"> (Кс)</w:t>
            </w:r>
          </w:p>
        </w:tc>
        <w:tc>
          <w:tcPr>
            <w:tcW w:w="15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ind w:left="-113" w:right="-113"/>
              <w:jc w:val="center"/>
              <w:rPr>
                <w:rFonts w:hint="default"/>
              </w:rPr>
            </w:pPr>
            <w:r>
              <w:rPr>
                <w:rFonts w:eastAsia="Times New Roman"/>
                <w:color w:val="000000"/>
                <w:sz w:val="20"/>
              </w:rPr>
              <w:t>Вывод об эффективности использования</w:t>
            </w:r>
          </w:p>
        </w:tc>
      </w:tr>
      <w:tr w:rsidR="00F521C8">
        <w:trPr>
          <w:trHeight w:val="645"/>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Общественно-политические науки</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1500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4,90 %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700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1,30 %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0,26</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пассивно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Естественные науки. Медицина</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1000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3,27 %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1200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2,22 %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0,68</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пассивно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Техника</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1200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3,92 %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400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0,74 %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0,19</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пассивно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Сельское хозяйство</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1000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3,27 %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0,56 %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0,17</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пассивно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Искусство</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500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1,63 %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750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1,39 %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0,85</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хорошо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Физкультура и спорт</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200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0,65 %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0,56 %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0,85</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хорошо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Языкознание</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0,33 %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200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0,37 %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1,13</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оптимально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Литературоведение</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0,33 %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150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0,28 %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0,85</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хорошо</w:t>
            </w:r>
          </w:p>
        </w:tc>
      </w:tr>
      <w:tr w:rsidR="00F521C8">
        <w:trPr>
          <w:trHeight w:val="645"/>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Художественная литература</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15 000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49 %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35 000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64,81 %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1,32</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сверхактивно</w:t>
            </w:r>
          </w:p>
        </w:tc>
      </w:tr>
      <w:tr w:rsidR="00F521C8">
        <w:trPr>
          <w:trHeight w:val="330"/>
        </w:trPr>
        <w:tc>
          <w:tcPr>
            <w:tcW w:w="148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Для детей</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10 000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33 %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15 000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27,78 %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0,85</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оптимально</w:t>
            </w:r>
          </w:p>
        </w:tc>
      </w:tr>
      <w:tr w:rsidR="00F521C8">
        <w:trPr>
          <w:trHeight w:val="255"/>
        </w:trPr>
        <w:tc>
          <w:tcPr>
            <w:tcW w:w="1485" w:type="dxa"/>
            <w:tcBorders>
              <w:top w:val="none" w:sz="4" w:space="0" w:color="000000"/>
              <w:left w:val="single" w:sz="8" w:space="0" w:color="000000"/>
              <w:bottom w:val="single" w:sz="8" w:space="0" w:color="000000"/>
              <w:right w:val="none" w:sz="4"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rPr>
                <w:rFonts w:hint="default"/>
              </w:rPr>
            </w:pPr>
            <w:r>
              <w:rPr>
                <w:rFonts w:eastAsia="Times New Roman"/>
                <w:color w:val="000000"/>
                <w:sz w:val="20"/>
              </w:rPr>
              <w:t>В целом</w:t>
            </w:r>
          </w:p>
        </w:tc>
        <w:tc>
          <w:tcPr>
            <w:tcW w:w="1023"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0"/>
              </w:rPr>
              <w:t>30 600</w:t>
            </w:r>
          </w:p>
        </w:tc>
        <w:tc>
          <w:tcPr>
            <w:tcW w:w="124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right="-57" w:firstLine="200"/>
              <w:rPr>
                <w:rFonts w:hint="default"/>
              </w:rPr>
            </w:pPr>
            <w:r>
              <w:rPr>
                <w:rFonts w:eastAsia="Times New Roman"/>
                <w:color w:val="000000"/>
                <w:sz w:val="20"/>
              </w:rPr>
              <w:t>100 %</w:t>
            </w:r>
          </w:p>
        </w:tc>
        <w:tc>
          <w:tcPr>
            <w:tcW w:w="1100"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firstLine="230"/>
              <w:rPr>
                <w:rFonts w:hint="default"/>
              </w:rPr>
            </w:pPr>
            <w:r>
              <w:rPr>
                <w:rFonts w:eastAsia="Times New Roman"/>
                <w:color w:val="000000"/>
                <w:sz w:val="20"/>
              </w:rPr>
              <w:t>54 000</w:t>
            </w:r>
          </w:p>
        </w:tc>
        <w:tc>
          <w:tcPr>
            <w:tcW w:w="175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firstLine="526"/>
              <w:rPr>
                <w:rFonts w:hint="default"/>
              </w:rPr>
            </w:pPr>
            <w:r>
              <w:rPr>
                <w:rFonts w:eastAsia="Times New Roman"/>
                <w:color w:val="000000"/>
                <w:sz w:val="20"/>
              </w:rPr>
              <w:t>100,00 %</w:t>
            </w:r>
          </w:p>
        </w:tc>
        <w:tc>
          <w:tcPr>
            <w:tcW w:w="11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4"/>
              </w:rPr>
              <w:t> </w:t>
            </w:r>
          </w:p>
        </w:tc>
        <w:tc>
          <w:tcPr>
            <w:tcW w:w="1555"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rsidR="00F521C8" w:rsidRDefault="004600ED">
            <w:pPr>
              <w:pBdr>
                <w:top w:val="none" w:sz="4" w:space="0" w:color="000000"/>
                <w:left w:val="none" w:sz="4" w:space="0" w:color="000000"/>
                <w:bottom w:val="none" w:sz="4" w:space="0" w:color="000000"/>
                <w:right w:val="none" w:sz="4" w:space="0" w:color="000000"/>
              </w:pBdr>
              <w:spacing w:line="65" w:lineRule="atLeast"/>
              <w:ind w:left="-57" w:right="-57"/>
              <w:jc w:val="center"/>
              <w:rPr>
                <w:rFonts w:hint="default"/>
              </w:rPr>
            </w:pPr>
            <w:r>
              <w:rPr>
                <w:rFonts w:eastAsia="Times New Roman"/>
                <w:color w:val="000000"/>
                <w:sz w:val="24"/>
              </w:rPr>
              <w:t> </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Таблица 8.</w:t>
      </w:r>
      <w:r>
        <w:rPr>
          <w:rFonts w:eastAsia="Times New Roman"/>
          <w:color w:val="000000"/>
          <w:sz w:val="24"/>
        </w:rPr>
        <w:t>Оценка использования</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694"/>
        <w:gridCol w:w="3648"/>
      </w:tblGrid>
      <w:tr w:rsidR="00F521C8">
        <w:trPr>
          <w:trHeight w:val="315"/>
        </w:trPr>
        <w:tc>
          <w:tcPr>
            <w:tcW w:w="269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Значение Кс</w:t>
            </w:r>
          </w:p>
        </w:tc>
        <w:tc>
          <w:tcPr>
            <w:tcW w:w="3648"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jc w:val="center"/>
              <w:rPr>
                <w:rFonts w:hint="default"/>
              </w:rPr>
            </w:pPr>
            <w:r>
              <w:rPr>
                <w:rFonts w:eastAsia="Times New Roman"/>
                <w:b/>
                <w:color w:val="000000"/>
                <w:sz w:val="24"/>
              </w:rPr>
              <w:t>Вывод об использовании фонда</w:t>
            </w:r>
          </w:p>
        </w:tc>
      </w:tr>
      <w:tr w:rsidR="00F521C8">
        <w:trPr>
          <w:trHeight w:val="375"/>
        </w:trPr>
        <w:tc>
          <w:tcPr>
            <w:tcW w:w="2694"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Кс ≥ 1,3</w:t>
            </w:r>
          </w:p>
        </w:tc>
        <w:tc>
          <w:tcPr>
            <w:tcW w:w="364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сверхактивно</w:t>
            </w:r>
          </w:p>
        </w:tc>
      </w:tr>
      <w:tr w:rsidR="00F521C8">
        <w:trPr>
          <w:trHeight w:val="375"/>
        </w:trPr>
        <w:tc>
          <w:tcPr>
            <w:tcW w:w="2694"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1 ≤ Кс &lt; 1,3</w:t>
            </w:r>
          </w:p>
        </w:tc>
        <w:tc>
          <w:tcPr>
            <w:tcW w:w="364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оптимально</w:t>
            </w:r>
          </w:p>
        </w:tc>
      </w:tr>
      <w:tr w:rsidR="00F521C8">
        <w:trPr>
          <w:trHeight w:val="375"/>
        </w:trPr>
        <w:tc>
          <w:tcPr>
            <w:tcW w:w="2694"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0,8 ≤ Кс &lt; 1</w:t>
            </w:r>
          </w:p>
        </w:tc>
        <w:tc>
          <w:tcPr>
            <w:tcW w:w="364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хорошо</w:t>
            </w:r>
          </w:p>
        </w:tc>
      </w:tr>
      <w:tr w:rsidR="00F521C8">
        <w:trPr>
          <w:trHeight w:val="375"/>
        </w:trPr>
        <w:tc>
          <w:tcPr>
            <w:tcW w:w="2694"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0,7 ≤ Кс &lt; 0,8</w:t>
            </w:r>
          </w:p>
        </w:tc>
        <w:tc>
          <w:tcPr>
            <w:tcW w:w="364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удовлетворительно</w:t>
            </w:r>
          </w:p>
        </w:tc>
      </w:tr>
      <w:tr w:rsidR="00F521C8">
        <w:trPr>
          <w:trHeight w:val="375"/>
        </w:trPr>
        <w:tc>
          <w:tcPr>
            <w:tcW w:w="2694"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Кс &lt; 0,7</w:t>
            </w:r>
          </w:p>
        </w:tc>
        <w:tc>
          <w:tcPr>
            <w:tcW w:w="3648"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bottom"/>
          </w:tcPr>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пассивно</w:t>
            </w:r>
          </w:p>
        </w:tc>
      </w:tr>
    </w:tbl>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VII.   Оценка состава и использования фонда электронных сетевых изданий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000000"/>
          <w:sz w:val="24"/>
        </w:rPr>
        <w:t>Анализируются данные о составе фонда локальных, инсталлированных сетевых лицензионных ресурсов. Данные сопоставляются с результатами анкетирования, в процессе которого выясняется уровень востребованности ресурсов пользователями библиотеки.</w:t>
      </w:r>
    </w:p>
    <w:p w:rsidR="00F521C8" w:rsidRDefault="004600ED">
      <w:pPr>
        <w:pBdr>
          <w:top w:val="none" w:sz="4" w:space="0" w:color="000000"/>
          <w:left w:val="none" w:sz="4" w:space="0" w:color="000000"/>
          <w:bottom w:val="none" w:sz="4" w:space="0" w:color="000000"/>
          <w:right w:val="none" w:sz="4" w:space="0" w:color="000000"/>
        </w:pBdr>
        <w:spacing w:before="240" w:after="240" w:line="85" w:lineRule="atLeast"/>
        <w:ind w:firstLine="709"/>
        <w:rPr>
          <w:rFonts w:hint="default"/>
        </w:rPr>
      </w:pPr>
      <w:r>
        <w:rPr>
          <w:rFonts w:eastAsia="Times New Roman"/>
          <w:b/>
          <w:color w:val="000000"/>
          <w:sz w:val="24"/>
        </w:rPr>
        <w:t xml:space="preserve">VIII. </w:t>
      </w:r>
      <w:r>
        <w:rPr>
          <w:rFonts w:eastAsia="Times New Roman"/>
          <w:b/>
          <w:color w:val="111111"/>
          <w:sz w:val="24"/>
          <w:highlight w:val="white"/>
        </w:rPr>
        <w:t>Анкетирование участников мониторинга и пользователей библиотек</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b/>
          <w:i/>
          <w:color w:val="111111"/>
          <w:sz w:val="24"/>
          <w:highlight w:val="white"/>
        </w:rPr>
        <w:t>Анкета участника мониторинга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Анкетирование участников исследования проводится для: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определения уровня соответствия заявленной миссии модельной библиотеки выбранным приоритетным группам пользо</w:t>
      </w:r>
      <w:r>
        <w:rPr>
          <w:rFonts w:eastAsia="Times New Roman"/>
          <w:color w:val="111111"/>
          <w:sz w:val="24"/>
          <w:highlight w:val="white"/>
        </w:rPr>
        <w:t>вателей и приоритетным направлениям комплектования;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получения данных о наличии Профиля комплектования как основополагающего документа;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выявления разнообразия источников информации, регулярно используемых при формировании фондов как первого шага к успеш</w:t>
      </w:r>
      <w:r>
        <w:rPr>
          <w:rFonts w:eastAsia="Times New Roman"/>
          <w:color w:val="111111"/>
          <w:sz w:val="24"/>
          <w:highlight w:val="white"/>
        </w:rPr>
        <w:t>ному комплектованию;</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определения разнообразия источников и способов комплектования;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xml:space="preserve">— выявления и устранения проблем, возникающих при проведении процедуры закупки на всех её стадиях, составлении сметы, доставке; </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оценки деятельности модельных библиотек</w:t>
      </w:r>
      <w:r>
        <w:rPr>
          <w:rFonts w:eastAsia="Times New Roman"/>
          <w:color w:val="111111"/>
          <w:sz w:val="24"/>
          <w:highlight w:val="white"/>
        </w:rPr>
        <w:t xml:space="preserve"> по продвижению новых изданий;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сбора замечаний и предложений для дальнейшего продвижения Проекта;</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 анализа предложений о необходимости повышения квалификации сотрудников модельных библиотек.</w:t>
      </w:r>
    </w:p>
    <w:p w:rsidR="00F521C8" w:rsidRDefault="004600ED">
      <w:pPr>
        <w:pBdr>
          <w:top w:val="none" w:sz="4" w:space="0" w:color="000000"/>
          <w:left w:val="none" w:sz="4" w:space="0" w:color="000000"/>
          <w:bottom w:val="none" w:sz="4" w:space="0" w:color="000000"/>
          <w:right w:val="none" w:sz="4" w:space="0" w:color="000000"/>
        </w:pBdr>
        <w:spacing w:before="240" w:line="85" w:lineRule="atLeast"/>
        <w:ind w:firstLine="709"/>
        <w:rPr>
          <w:rFonts w:hint="default"/>
        </w:rPr>
      </w:pPr>
      <w:r>
        <w:rPr>
          <w:rFonts w:eastAsia="Times New Roman"/>
          <w:b/>
          <w:i/>
          <w:color w:val="111111"/>
          <w:sz w:val="24"/>
          <w:highlight w:val="white"/>
        </w:rPr>
        <w:t>Анкета читателя</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Анкетирование направлено на выявление мнений пользователей о данном фонде и их читательских предпочтениях, что служит для оценки их удовлетворенности фондом библиотеки и даёт возможность читателям вносить предложения по формированию фонда. Будет прослежена</w:t>
      </w:r>
      <w:r>
        <w:rPr>
          <w:rFonts w:eastAsia="Times New Roman"/>
          <w:color w:val="111111"/>
          <w:sz w:val="24"/>
          <w:highlight w:val="white"/>
        </w:rPr>
        <w:t xml:space="preserve"> динамика количества пользователей, удовлетворённых качеством услуг библиотеки, от общего числа зарегистрированных пользователей (от общего числа опрошенных пользователей).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Для обработки данных анкет составляются сводные таблицы в программе Excel, где наим</w:t>
      </w:r>
      <w:r>
        <w:rPr>
          <w:rFonts w:eastAsia="Times New Roman"/>
          <w:color w:val="111111"/>
          <w:sz w:val="24"/>
          <w:highlight w:val="white"/>
        </w:rPr>
        <w:t>енования столбцов — вопросы с вариантами ответов, а наименования строк — порядковые номера анкет. При анализе данных при необходимости используется перекрёстная группировка для связывания данных, предварительно упорядоченных по двум признакам. Например, «З</w:t>
      </w:r>
      <w:r>
        <w:rPr>
          <w:rFonts w:eastAsia="Times New Roman"/>
          <w:color w:val="111111"/>
          <w:sz w:val="24"/>
          <w:highlight w:val="white"/>
        </w:rPr>
        <w:t>ависимость удовлетворённости обслуживанием в библиотеке от рода занятий читателей». Осуществляется также анализ ответов на открытые вопросы (контент-анализ), содержание которых анализируется как самостоятельно, так и путём связывания с ответами на закрытые</w:t>
      </w:r>
      <w:r>
        <w:rPr>
          <w:rFonts w:eastAsia="Times New Roman"/>
          <w:color w:val="111111"/>
          <w:sz w:val="24"/>
          <w:highlight w:val="white"/>
        </w:rPr>
        <w:t xml:space="preserve"> вопросы. Итог — интерпретация результатов анкетирования.</w:t>
      </w:r>
    </w:p>
    <w:p w:rsidR="00F521C8" w:rsidRDefault="004600ED">
      <w:pPr>
        <w:pBdr>
          <w:top w:val="none" w:sz="4" w:space="0" w:color="000000"/>
          <w:left w:val="none" w:sz="4" w:space="0" w:color="000000"/>
          <w:bottom w:val="none" w:sz="4" w:space="0" w:color="000000"/>
          <w:right w:val="none" w:sz="4" w:space="0" w:color="000000"/>
        </w:pBdr>
        <w:shd w:val="clear" w:color="FFFFFF" w:fill="FFFFFF"/>
        <w:spacing w:line="85" w:lineRule="atLeast"/>
        <w:ind w:firstLine="709"/>
        <w:rPr>
          <w:rFonts w:hint="default"/>
        </w:rPr>
      </w:pPr>
      <w:r>
        <w:rPr>
          <w:rFonts w:eastAsia="Times New Roman"/>
          <w:color w:val="111111"/>
          <w:sz w:val="24"/>
          <w:highlight w:val="white"/>
        </w:rPr>
        <w:t>По итогам каждого этапа мониторинга составляется ежегодный отчёт. Участникам мониторинга и исследовательской группе предстоит непростая, но интересная работа, призванная выявить основные проблемы ко</w:t>
      </w:r>
      <w:r>
        <w:rPr>
          <w:rFonts w:eastAsia="Times New Roman"/>
          <w:color w:val="111111"/>
          <w:sz w:val="24"/>
          <w:highlight w:val="white"/>
        </w:rPr>
        <w:t>мплектования и использования библиотечных фондов, подтвердить эффективность работы библиотек нового поколения и задать вектор развития фондов модельных библиотек. Библиотеки — участники Проекта могут стать образцом для модернизации муниципальных библиотек,</w:t>
      </w:r>
      <w:r>
        <w:rPr>
          <w:rFonts w:eastAsia="Times New Roman"/>
          <w:color w:val="111111"/>
          <w:sz w:val="24"/>
          <w:highlight w:val="white"/>
        </w:rPr>
        <w:t xml:space="preserve"> не охваченных нацпроектом «Культура», а востребованность их фондов населением должна убедить местные органы власти и государства в необходимости дополнительных инвестиций.</w:t>
      </w:r>
    </w:p>
    <w:p w:rsidR="00F521C8" w:rsidRDefault="004600ED">
      <w:pPr>
        <w:pBdr>
          <w:top w:val="none" w:sz="4" w:space="0" w:color="000000"/>
          <w:left w:val="none" w:sz="4" w:space="0" w:color="000000"/>
          <w:bottom w:val="none" w:sz="4" w:space="0" w:color="000000"/>
          <w:right w:val="none" w:sz="4" w:space="0" w:color="000000"/>
        </w:pBdr>
        <w:spacing w:line="85" w:lineRule="atLeast"/>
        <w:ind w:firstLine="709"/>
        <w:rPr>
          <w:rFonts w:hint="default"/>
        </w:rPr>
      </w:pPr>
      <w:r>
        <w:rPr>
          <w:rFonts w:eastAsia="Times New Roman"/>
          <w:color w:val="111111"/>
          <w:sz w:val="24"/>
          <w:highlight w:val="white"/>
        </w:rPr>
        <w:t>Грамотное использование финансовых средств на комплектование, обоснованная политика формирования фондов, изучение читательского спроса и использования фондов, своевременное регулирование количественного и качественного состава фондов должно привести к реал</w:t>
      </w:r>
      <w:r>
        <w:rPr>
          <w:rFonts w:eastAsia="Times New Roman"/>
          <w:color w:val="111111"/>
          <w:sz w:val="24"/>
          <w:highlight w:val="white"/>
        </w:rPr>
        <w:t>изации целей проекта по модернизации муниципальных библиотек.</w:t>
      </w:r>
    </w:p>
    <w:p w:rsidR="00F521C8" w:rsidRDefault="004600ED">
      <w:pPr>
        <w:pBdr>
          <w:top w:val="none" w:sz="4" w:space="0" w:color="000000"/>
          <w:left w:val="none" w:sz="4" w:space="0" w:color="000000"/>
          <w:bottom w:val="none" w:sz="4" w:space="0" w:color="000000"/>
          <w:right w:val="none" w:sz="4" w:space="0" w:color="000000"/>
        </w:pBdr>
        <w:rPr>
          <w:rFonts w:hint="default"/>
        </w:rPr>
      </w:pPr>
      <w:r>
        <w:br/>
      </w:r>
    </w:p>
    <w:p w:rsidR="00F521C8" w:rsidRDefault="004600ED">
      <w:pPr>
        <w:rPr>
          <w:rFonts w:hint="default"/>
        </w:rPr>
      </w:pPr>
      <w:r>
        <w:rPr>
          <w:rFonts w:eastAsia="Times New Roman" w:hint="default"/>
          <w:color w:val="111111"/>
          <w:sz w:val="24"/>
          <w:shd w:val="clear" w:color="auto" w:fill="FFFFFF"/>
        </w:rPr>
        <w:br w:type="page" w:clear="all"/>
      </w:r>
    </w:p>
    <w:sectPr w:rsidR="00F521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1C8" w:rsidRDefault="004600ED">
      <w:pPr>
        <w:rPr>
          <w:rFonts w:hint="default"/>
        </w:rPr>
      </w:pPr>
      <w:r>
        <w:separator/>
      </w:r>
    </w:p>
  </w:endnote>
  <w:endnote w:type="continuationSeparator" w:id="0">
    <w:p w:rsidR="00F521C8" w:rsidRDefault="004600ED">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1C8" w:rsidRDefault="004600ED">
      <w:pPr>
        <w:rPr>
          <w:rFonts w:hint="default"/>
        </w:rPr>
      </w:pPr>
      <w:r>
        <w:separator/>
      </w:r>
    </w:p>
  </w:footnote>
  <w:footnote w:type="continuationSeparator" w:id="0">
    <w:p w:rsidR="00F521C8" w:rsidRDefault="004600ED">
      <w:pPr>
        <w:rPr>
          <w:rFonts w:hint="default"/>
        </w:rPr>
      </w:pPr>
      <w:r>
        <w:continuationSeparator/>
      </w:r>
    </w:p>
  </w:footnote>
  <w:footnote w:id="1">
    <w:p w:rsidR="00F521C8" w:rsidRDefault="004600ED">
      <w:pPr>
        <w:pStyle w:val="af7"/>
        <w:rPr>
          <w:rFonts w:hint="default"/>
        </w:rPr>
      </w:pPr>
      <w:r>
        <w:rPr>
          <w:rStyle w:val="af3"/>
        </w:rPr>
        <w:footnoteRef/>
      </w:r>
      <w:r>
        <w:t xml:space="preserve"> </w:t>
      </w:r>
      <w:r>
        <w:rPr>
          <w:rFonts w:eastAsia="Times New Roman"/>
          <w:color w:val="000000"/>
          <w:sz w:val="24"/>
        </w:rPr>
        <w:t xml:space="preserve"> Принято научно-методическим советом НМО 21.12.2021 г. в редакции от 10.02.2023 г.</w:t>
      </w:r>
    </w:p>
  </w:footnote>
  <w:footnote w:id="2">
    <w:p w:rsidR="00F521C8" w:rsidRDefault="004600ED">
      <w:pPr>
        <w:pStyle w:val="af7"/>
        <w:rPr>
          <w:rFonts w:hint="default"/>
        </w:rPr>
      </w:pPr>
      <w:r>
        <w:rPr>
          <w:rStyle w:val="af3"/>
        </w:rPr>
        <w:footnoteRef/>
      </w:r>
      <w:r>
        <w:t xml:space="preserve"> </w:t>
      </w:r>
      <w:r>
        <w:rPr>
          <w:rFonts w:eastAsia="Times New Roman"/>
          <w:color w:val="000000"/>
          <w:sz w:val="21"/>
        </w:rPr>
        <w:t xml:space="preserve"> </w:t>
      </w:r>
      <w:r>
        <w:rPr>
          <w:rFonts w:eastAsia="Times New Roman"/>
          <w:color w:val="111111"/>
          <w:sz w:val="24"/>
          <w:highlight w:val="white"/>
        </w:rPr>
        <w:t>Хронологические рамки мониторинга определяются следующим образом: год, предшествующий Проекту; 1-й год участия в Проекте; 3 года, в течение которых осуществляется дополнительное комплектование за счёт муниципального бюджета и / или бюджета субъекта РФ; пос</w:t>
      </w:r>
      <w:r>
        <w:rPr>
          <w:rFonts w:eastAsia="Times New Roman"/>
          <w:color w:val="111111"/>
          <w:sz w:val="24"/>
          <w:highlight w:val="white"/>
        </w:rPr>
        <w:t>ледующие годы. Каждый год к рассматриваемым библиотекам добавляются новые библиотеки-победители.</w:t>
      </w:r>
    </w:p>
  </w:footnote>
  <w:footnote w:id="3">
    <w:p w:rsidR="00F521C8" w:rsidRDefault="004600ED">
      <w:pPr>
        <w:pStyle w:val="af7"/>
        <w:rPr>
          <w:rFonts w:hint="default"/>
        </w:rPr>
      </w:pPr>
      <w:r>
        <w:rPr>
          <w:rStyle w:val="af3"/>
        </w:rPr>
        <w:footnoteRef/>
      </w:r>
      <w:r>
        <w:t xml:space="preserve"> </w:t>
      </w:r>
      <w:r>
        <w:rPr>
          <w:rFonts w:eastAsia="Times New Roman"/>
          <w:color w:val="000000"/>
        </w:rPr>
        <w:t xml:space="preserve"> Первый этап Мониторинга — 2022 завершён.</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1C8"/>
    <w:rsid w:val="004600ED"/>
    <w:rsid w:val="00F52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pPr>
    <w:rPr>
      <w:rFonts w:ascii="Times New Roman" w:eastAsia="SimSun" w:hAnsi="Times New Roman" w:cs="Times New Roman" w:hint="eastAsia"/>
      <w:sz w:val="21"/>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character" w:styleId="af6">
    <w:name w:val="footnote reference"/>
    <w:uiPriority w:val="99"/>
    <w:unhideWhenUsed/>
    <w:qFormat/>
    <w:rPr>
      <w:rFonts w:cs="Times New Roman" w:hint="default"/>
      <w:sz w:val="24"/>
      <w:szCs w:val="24"/>
      <w:vertAlign w:val="superscript"/>
    </w:rPr>
  </w:style>
  <w:style w:type="paragraph" w:styleId="af7">
    <w:name w:val="footnote text"/>
    <w:basedOn w:val="a"/>
    <w:link w:val="af8"/>
    <w:uiPriority w:val="99"/>
    <w:unhideWhenUsed/>
    <w:qFormat/>
    <w:rPr>
      <w:sz w:val="20"/>
    </w:rPr>
  </w:style>
  <w:style w:type="paragraph" w:styleId="af9">
    <w:name w:val="Normal (Web)"/>
    <w:basedOn w:val="a"/>
    <w:uiPriority w:val="99"/>
    <w:unhideWhenUsed/>
    <w:qFormat/>
    <w:pPr>
      <w:spacing w:before="100" w:beforeAutospacing="1" w:after="100" w:afterAutospacing="1"/>
      <w:jc w:val="left"/>
    </w:pPr>
    <w:rPr>
      <w:sz w:val="24"/>
    </w:rPr>
  </w:style>
  <w:style w:type="character" w:customStyle="1" w:styleId="af8">
    <w:name w:val="Текст сноски Знак"/>
    <w:basedOn w:val="a0"/>
    <w:link w:val="af7"/>
    <w:uiPriority w:val="99"/>
    <w:qFormat/>
    <w:rPr>
      <w:rFonts w:ascii="Times New Roman" w:eastAsia="SimSun" w:hAnsi="Times New Roman" w:cs="Times New Roman"/>
      <w:sz w:val="20"/>
      <w:szCs w:val="24"/>
      <w:lang w:eastAsia="ru-RU"/>
    </w:rPr>
  </w:style>
  <w:style w:type="paragraph" w:styleId="afa">
    <w:name w:val="List Paragraph"/>
    <w:basedOn w:val="a"/>
    <w:uiPriority w:val="34"/>
    <w:qFormat/>
    <w:pPr>
      <w:spacing w:after="160" w:line="259" w:lineRule="auto"/>
      <w:ind w:left="720"/>
    </w:pPr>
    <w:rPr>
      <w:rFonts w:ascii="Calibri" w:cs="Calibri"/>
      <w:sz w:val="22"/>
      <w:szCs w:val="22"/>
      <w:lang w:eastAsia="en-US"/>
    </w:rPr>
  </w:style>
  <w:style w:type="character" w:customStyle="1" w:styleId="extendedtext-short">
    <w:name w:val="extendedtext-short"/>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pPr>
    <w:rPr>
      <w:rFonts w:ascii="Times New Roman" w:eastAsia="SimSun" w:hAnsi="Times New Roman" w:cs="Times New Roman" w:hint="eastAsia"/>
      <w:sz w:val="21"/>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character" w:styleId="af6">
    <w:name w:val="footnote reference"/>
    <w:uiPriority w:val="99"/>
    <w:unhideWhenUsed/>
    <w:qFormat/>
    <w:rPr>
      <w:rFonts w:cs="Times New Roman" w:hint="default"/>
      <w:sz w:val="24"/>
      <w:szCs w:val="24"/>
      <w:vertAlign w:val="superscript"/>
    </w:rPr>
  </w:style>
  <w:style w:type="paragraph" w:styleId="af7">
    <w:name w:val="footnote text"/>
    <w:basedOn w:val="a"/>
    <w:link w:val="af8"/>
    <w:uiPriority w:val="99"/>
    <w:unhideWhenUsed/>
    <w:qFormat/>
    <w:rPr>
      <w:sz w:val="20"/>
    </w:rPr>
  </w:style>
  <w:style w:type="paragraph" w:styleId="af9">
    <w:name w:val="Normal (Web)"/>
    <w:basedOn w:val="a"/>
    <w:uiPriority w:val="99"/>
    <w:unhideWhenUsed/>
    <w:qFormat/>
    <w:pPr>
      <w:spacing w:before="100" w:beforeAutospacing="1" w:after="100" w:afterAutospacing="1"/>
      <w:jc w:val="left"/>
    </w:pPr>
    <w:rPr>
      <w:sz w:val="24"/>
    </w:rPr>
  </w:style>
  <w:style w:type="character" w:customStyle="1" w:styleId="af8">
    <w:name w:val="Текст сноски Знак"/>
    <w:basedOn w:val="a0"/>
    <w:link w:val="af7"/>
    <w:uiPriority w:val="99"/>
    <w:qFormat/>
    <w:rPr>
      <w:rFonts w:ascii="Times New Roman" w:eastAsia="SimSun" w:hAnsi="Times New Roman" w:cs="Times New Roman"/>
      <w:sz w:val="20"/>
      <w:szCs w:val="24"/>
      <w:lang w:eastAsia="ru-RU"/>
    </w:rPr>
  </w:style>
  <w:style w:type="paragraph" w:styleId="afa">
    <w:name w:val="List Paragraph"/>
    <w:basedOn w:val="a"/>
    <w:uiPriority w:val="34"/>
    <w:qFormat/>
    <w:pPr>
      <w:spacing w:after="160" w:line="259" w:lineRule="auto"/>
      <w:ind w:left="720"/>
    </w:pPr>
    <w:rPr>
      <w:rFonts w:ascii="Calibri" w:cs="Calibri"/>
      <w:sz w:val="22"/>
      <w:szCs w:val="22"/>
      <w:lang w:eastAsia="en-US"/>
    </w:rPr>
  </w:style>
  <w:style w:type="character" w:customStyle="1" w:styleId="extendedtext-short">
    <w:name w:val="extendedtext-shor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ily.afisha.ru/out/?url=aHR0cHM6Ly93d3cubWtyZi5ydS9hYm91dC9uYXRpb25hbC1wcm9qZWN0Lw%3D%3D&amp;h=c4e024e63b1963c1042b274d805096e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0BB27-2C3A-4B64-A05C-7E198089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3923</Words>
  <Characters>22364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Сосипатрова Юлия Валерьевна</cp:lastModifiedBy>
  <cp:revision>2</cp:revision>
  <dcterms:created xsi:type="dcterms:W3CDTF">2025-05-13T12:47:00Z</dcterms:created>
  <dcterms:modified xsi:type="dcterms:W3CDTF">2025-05-13T12:47:00Z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2A0CB01781414DFA8F5746E5A6CD0904</vt:lpwstr>
  </property>
</Properties>
</file>